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LV-C[C2]-R[2-3-1-r-] Development of a sustainable and socially responsible support framework for adult learning</w:t>
      </w:r>
    </w:p>
    <w:p w:rsidR="00DC6807" w:rsidRPr="00905B9C" w:rsidP="01BD11D8" w14:paraId="4C22E5B9" w14:textId="470FD0EC">
      <w:pPr>
        <w:jc w:val="right"/>
        <w:rPr>
          <w:b/>
          <w:bCs/>
          <w:highlight w:val="cyan"/>
          <w:lang w:val="fr-BE"/>
        </w:rPr>
      </w:pPr>
      <w:r w:rsidRPr="00905B9C" w:rsidR="005B3C6E">
        <w:rPr>
          <w:b/>
          <w:bCs/>
          <w:lang w:val="fr-BE"/>
        </w:rPr>
        <w:t>LV-C[C2]-R[2-3-1-r-]-M[57] Incentives and responsibilities for companies to educate and train their employees and creation of more opportunities and rights for employees to participate in learning</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2023</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reform are to increase the adult learning participation rate to 8% (adults aged 25-64) by 31 December 2025 and facilitate reaching other targets set in the Education Development Guidelines 2021-2027. The reform shall establish and strengthen the legal framework for a sustainable and socially responsible support system for adult learning; encourage enterprises (especially SMEs) to provide their employees with opportunities to improve their skills and competences; and create more opportunities and rights for employees to participate in education and training. The reform consists of the set of policy development milestones fixed in the Education Development Guidelines 2021-2027 coming into force; setting responsibilities of enterprises for education and training of their employees; setting up and piloting individual learning accounts; and piloting three skills funds. The reform shall be implemented by 30 June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57</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C2.2-3-1-r- Development of a sustainable and socially responsible support framework for adult learning</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Incentives and responsibilities for companies to educate and train their employees and creation of more opportunities and rights for employees to participate in learning</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Legislative framework has entered into force</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2023</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Economics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Legislative acts have entered into force that shall: </w:t>
              <w:br/>
              <w:br/>
              <w:t xml:space="preserve">1) set criteria and procedures for incentives and responsibilities of enterprises in education and training (covering both basic and advanced skills) of their employees, and introduce more favourable tax treatment of costs covered by employers for staff education (such as tuition fees);  </w:t>
              <w:br/>
              <w:br/>
              <w:t xml:space="preserve">2) create wider opportunities and rights for employees to participate in learning; and  </w:t>
              <w:br/>
              <w:br/>
              <w:t>3) establish a framework regarding future support measures to incentivise enterprises (in particular SMEs) to develop the skills of their employees, including the criteria for receiving such support and the procedure(s) for implementing the support measures.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copy of the relevant legislation and a link to its publication in the Official Journal, including a reference to the provision indicating the entry into force, accompanied by a summary document duly justifying how the milestone (including all the constitutive elements) was satisfactorily fulfilled, with appropriate links to the underlying evidence.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