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LV-C[C1]-R[1-1-1-r-] Greening the Riga Metropolitan Range Transport System</w:t>
      </w:r>
    </w:p>
    <w:p w:rsidR="00DC6807" w:rsidRPr="00905B9C" w:rsidP="01BD11D8" w14:paraId="4C22E5B9" w14:textId="470FD0EC">
      <w:pPr>
        <w:jc w:val="right"/>
        <w:rPr>
          <w:b/>
          <w:bCs/>
          <w:highlight w:val="cyan"/>
          <w:lang w:val="fr-BE"/>
        </w:rPr>
      </w:pPr>
      <w:r w:rsidRPr="00905B9C" w:rsidR="005B3C6E">
        <w:rPr>
          <w:b/>
          <w:bCs/>
          <w:lang w:val="fr-BE"/>
        </w:rPr>
        <w:t>LV-C[C1]-R[1-1-1-r-]-M[1] Coordinated approach for passenger transport planning, ordering and organisation of the Riga metropolitan area</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2023</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C1.1-1-1-r- Greening the Riga Metropolitan Range Transport System</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Coordinated approach for passenger transport planning, ordering and organisation of the Riga metropolitan area</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 coordinated approach has been implemented for passenger transport planning, ordering and organisation of the Riga metropolitan area</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2023</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Completion of the necessary steps to implement coordinated approach. This includes among others:</w:t>
              <w:br/>
              <w:t>— setting up a working group for the coordination of Riga metropolitan area public transport planning;</w:t>
              <w:br/>
              <w:t>— The Riga metropolitan area public transport plan has been adopted in line with the development of passenger transport by rail in Latvia.</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minutes of the working group for the coordination of Riga metropolitan area public transport planning as well as all other strategic documents it has produced; b) a copy of and a link to the public transport plan accompanied by a summary document duly justifying how the milestone (including all the constitutive elements) was satisfactorily fulfilled, with appropriate links to the underlying evidence).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