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LV-C[C6]-I[6-1-1-1-i-] Modernisation of existing analytical solutions</w:t>
      </w:r>
    </w:p>
    <w:p w:rsidR="00DC6807" w:rsidRPr="00905B9C" w:rsidP="01BD11D8" w14:paraId="4C22E5B9" w14:textId="470FD0EC">
      <w:pPr>
        <w:jc w:val="right"/>
        <w:rPr>
          <w:b/>
          <w:bCs/>
          <w:highlight w:val="cyan"/>
          <w:lang w:val="fr-BE"/>
        </w:rPr>
      </w:pPr>
      <w:r w:rsidRPr="00905B9C" w:rsidR="005B3C6E">
        <w:rPr>
          <w:b/>
          <w:bCs/>
          <w:lang w:val="fr-BE"/>
        </w:rPr>
        <w:t>LV-C[C6]-I[6-1-1-1-i-]-M[172] Entry into operation of upgraded analytical solutions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migrate existing risk systems to a single analytical platform and to modernise individual taxpayers’ risk system and the excise tax risk system. The investment consists of a) the implementation of a System of Risks for Individual Taxpayers, b) the implementation of Excise Tax Risk Management System, and c) the transfer of the ESKORT system to the SAP HANA database. The investment shall be implemented by 30 June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C6.6-1-1-1-i- Modernisation of existing analytical solutions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operation of upgraded analytical solutions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Advanced risk analysis systems developed and implemented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upgrades have been completed:</w:t>
              <w:br/>
              <w:t>Existing risk systems have been migrated to a single analytical platform.</w:t>
              <w:br/>
              <w:t xml:space="preserve">System of Risks for Individual Taxpayers has been developed and implemented. </w:t>
              <w:br/>
              <w:t xml:space="preserve">Excise Tax Risk Management System developed and implemented. </w:t>
              <w:br/>
              <w:t>The ESKORT system has been transferred to the SAP HANA database.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completion of the transfer of the risk systems to a single analytical platform, the development and implementation of the System of Risks for Individual Taxpayers and the Excise Tax Risk Management System and the transfer of the ESKORT system to the SAP HANA database; b) an extract of technical specifications linking their requirements with the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