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LV-C[C4]-R[4-2-1-r-] Human resources and upskilling</w:t>
      </w:r>
    </w:p>
    <w:p w:rsidR="00DC6807" w:rsidRPr="00905B9C" w:rsidP="01BD11D8" w14:paraId="4C22E5B9" w14:textId="470FD0EC">
      <w:pPr>
        <w:jc w:val="right"/>
        <w:rPr>
          <w:b/>
          <w:bCs/>
          <w:highlight w:val="cyan"/>
          <w:lang w:val="fr-BE"/>
        </w:rPr>
      </w:pPr>
      <w:r w:rsidRPr="00905B9C" w:rsidR="005B3C6E">
        <w:rPr>
          <w:b/>
          <w:bCs/>
          <w:lang w:val="fr-BE"/>
        </w:rPr>
        <w:t>LV-C[C4]-R[4-2-1-r-]-M[146] Adoption of a model for health workforce planning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human resources management and upskilling in the health sector. The reform consists of the development of a human resources strategy that includes a comprehensive approach to the health workforce planning and lifelong learning model, coordination mechanism for training and a simulation approach in training. The human resources strategy for the health sector shall be based on a mapping of human resources. The strategy shall cover such actions as the development of a new salary model, the provision of basic medical training and the number of residence places in line with demand, retention measures as well as the development of a human resources database. The reform shall also establish a framework to strengthen the medical education system, providing for the introduction of a sustainable model for continuing education and a coordination mechanism to ensure and monitor the quality of educational content, as well as a simulation approach at all levels of education. An IT tool for forecasting the future needs of health workforce shall be developed. The reform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C4.4-2-1-r- Human resources and upskilling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Adoption of a model for health workforce planning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Adoption and deployment of a model for forecasting future health workforce needs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 model (IT tool) to forecast the future needs of health workforce delivered and approved by the Ministry of Health. The model is to be used for planning purposes. The model shall provide estimates, based on projected population health care needs and the organisation of healthcare service delivery, on: </w:t>
              <w:br/>
              <w:t xml:space="preserve">-          The need for healthcare professionals, by specialty and geographic area / place of practice; </w:t>
              <w:br/>
              <w:t>-          The need for professional development of health professionals,</w:t>
              <w:br/>
              <w:t>-          Expected gaps in workforce supply.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report by a third party shall be provided to certify that the IT tool (model) is developed and operational, and that the estimates described in the milestone are available to the authorities; b) extract of the relevant parts of the technical specifications of the IT tool proving alignment with the description of the milestone and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model (IT tool) is planned to be developed internally by the Ministry of Health</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