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LV-C[C3]-I[3-1-2-2-i-] Development of a forecast tool</w:t>
      </w:r>
    </w:p>
    <w:p w:rsidR="00DC6807" w:rsidRPr="00905B9C" w:rsidP="01BD11D8" w14:paraId="4C22E5B9" w14:textId="470FD0EC">
      <w:pPr>
        <w:jc w:val="right"/>
        <w:rPr>
          <w:b/>
          <w:bCs/>
          <w:highlight w:val="cyan"/>
          <w:lang w:val="fr-BE"/>
        </w:rPr>
      </w:pPr>
      <w:r w:rsidRPr="00905B9C" w:rsidR="005B3C6E">
        <w:rPr>
          <w:b/>
          <w:bCs/>
          <w:lang w:val="fr-BE"/>
        </w:rPr>
        <w:t>LV-C[C3]-I[3-1-2-2-i-]-M[119] Completion of technical specifications for social security forecasting tool information system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upgrade the macroeconomic modelling capacity to assess the long-term sustainability of the social security system. The measure consists of tendering and developing econometric models and a methodology for the long-term forecasting of social support, including pensions, developing technical specification for the information system and monitoring the development of the system. The final deliverables shall include an evaluation report on the current situation; a mathematical model for pension forecasting; the evaluation of the current forecasting tool and its potential; technical specifications for the development of an information system; monitoring of the system development throughout the measure. The implementation of the investment shall be completed by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C3.3-1-2-2-i- Development of a forecast tool</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Completion of technical specifications for social security forecasting tool information system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Technical specifications approved by the Ministry of Welfare and ready for submission to the information system developer</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Completion of technical specifications for a new social security forecasting tool information system. The technical specifications shall include: </w:t>
              <w:br/>
              <w:t xml:space="preserve"> —an evaluation report on the current forecasting tool and its options and recommendations for the development of the new forecasting tool; </w:t>
              <w:br/>
              <w:t xml:space="preserve"> — technical specifications for the development of system (the technical specification shall also include a requirement for the application of the Agile methodology during the system development phases).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 xml:space="preserve">A summary document duly justifying how the milestone (including all the constitutive elements) was satisfactorily fulfilled, with appropriate links to the underlying evidence. This document shall include as an annex the following documentary evidence and elements: a) a copy of technical specifications for a new social security forecasting tool information system, b) extract of the relevant parts of the technical specifications of the project proving alignment with the description of the milestone in the CID Annex; </w:t>
        <w:cr/>
        <w:br/>
        <w:t>c) extract of the official documents, including a copy of the minutes of the national-level working group containing evidence that the technical specification included in the tender specifications for outsourcing the development of IS and are ready to be submitted to the Ministry of Welfare procurement commission.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