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LV-C[C1]-I[1-2-1-3-i-] Improving municipal buildings and infrastructure by promoting the transition to renewable energy technologies and improving energy efficiency</w:t>
      </w:r>
    </w:p>
    <w:p w:rsidR="00DC6807" w:rsidRPr="00905B9C" w:rsidP="01BD11D8" w14:paraId="4C22E5B9" w14:textId="470FD0EC">
      <w:pPr>
        <w:jc w:val="right"/>
        <w:rPr>
          <w:b/>
          <w:bCs/>
          <w:highlight w:val="cyan"/>
          <w:lang w:val="fr-BE"/>
        </w:rPr>
      </w:pPr>
      <w:r w:rsidRPr="00905B9C" w:rsidR="005B3C6E">
        <w:rPr>
          <w:b/>
          <w:bCs/>
          <w:lang w:val="fr-BE"/>
        </w:rPr>
        <w:t>LV-C[C1]-I[1-2-1-3-i-]-T[14] Award of contracts for the implementation of energy efficiency improvement projects for local government buildings and infrastructure for at least EUR 27 838 800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Latvian municipal buildings. A large part of existing municipal buildings had been built before thermal requirements for building were increased and therefore have a low energy performance. More specifically, the objective of the measure is to improve the energy efficiency of local government buildings and infrastructure in order to reduce annual primary energy consumption and reduce GHG emissions. As a complementary objective, this measure is also expected to reduce the cost of maintenance of municipal buildings. The measure consists of investments in energy efficiency renovation in buildings owned by local government (and mixed properties where the municipalities are majority shareholders), including buildings dedicated to social housing, health care, education and social services. The measure shall be implemented from 1 January 2022 until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C1.1-2-1-3-i- Improving municipal buildings and infrastructure by promoting the transition to renewable energy technologies and improving energy efficiency</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Award of contracts for the implementation of energy efficiency improvement projects for local government buildings and infrastructure for at least EUR 27 838 800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27838800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Central Finance and Contracting Agency,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Notification of the award of contracts for at least EUR 27 838 800.</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was satisfactorily fulfilled, with appropriate links to the underlying evidence including a list of awarded contracts and their amounts.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