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LV-C[C1]-I[1-3-1-2-i-] Investments in flood risk reduction infrastructure</w:t>
      </w:r>
    </w:p>
    <w:p w:rsidR="00DC6807" w:rsidRPr="00905B9C" w:rsidP="01BD11D8" w14:paraId="4C22E5B9" w14:textId="470FD0EC">
      <w:pPr>
        <w:jc w:val="right"/>
        <w:rPr>
          <w:b/>
          <w:bCs/>
          <w:highlight w:val="cyan"/>
          <w:lang w:val="fr-BE"/>
        </w:rPr>
      </w:pPr>
      <w:r w:rsidRPr="00905B9C" w:rsidR="005B3C6E">
        <w:rPr>
          <w:b/>
          <w:bCs/>
          <w:lang w:val="fr-BE"/>
        </w:rPr>
        <w:t>LV-C[C1]-I[1-3-1-2-i-]-M[25] Construction contracts awarded for half the total number of rebuilding and renewal</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change adaptation by preventing floods. It shall lead to the implementation of investment projects protecting against the risk of flooding. The measure consists of investments in flood risk reduction infrastructure, including rebuilding and renewal of polder pumping stations, renewal of protective dikes and a canal.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C1.1-3-1-2-i- Investments in flood risk reduction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Construction contracts awarded for half the total number of rebuilding and renewal</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Construction contracts awarded for half the total number of rebuilding and renewal</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Agriculture, real estate of the Ministry of Agriculture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Construction contracts awarded for at least 50 % of the total number of rebuilding and renewal by 31 December 2024</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awarded construction contracts with a short description of the construction.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In total, measure 1.3.1.2.i. Investments in flood risk reduction infrastructure consists of 21 flood protection projects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