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LV-C[C2]-I[2-3-2-2-i-] Development of state and local government digital transformation skills and capabilities</w:t>
      </w:r>
    </w:p>
    <w:p w:rsidR="00DC6807" w:rsidRPr="00905B9C" w:rsidP="01BD11D8" w14:paraId="4C22E5B9" w14:textId="470FD0EC">
      <w:pPr>
        <w:jc w:val="right"/>
        <w:rPr>
          <w:b/>
          <w:bCs/>
          <w:highlight w:val="cyan"/>
          <w:lang w:val="fr-BE"/>
        </w:rPr>
      </w:pPr>
      <w:r w:rsidRPr="00905B9C" w:rsidR="005B3C6E">
        <w:rPr>
          <w:b/>
          <w:bCs/>
          <w:lang w:val="fr-BE"/>
        </w:rPr>
        <w:t>LV-C[C2]-I[2-3-2-2-i-]-T[75] Public administration (state and local government) employees with advanced digital skills, including e-learning</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increase the skills of employees of public administration in digital transformation and their use of technologies, in order to develop policies fit for the digital age. The investment consists of increasing the digital competence and capacity of national government and local government employees, including digital transformation planning and change management, use of data analytics, artificial intelligence and other modern technologies to modernise operations and services, flexible ICT project management, use of modern digital infrastructures and management. The investment shall be implemented by 30 June 2023 for digital skills and competence framework and by 31 August 2026 for improving the digital skills for public administration employees</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75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C2.2-3-2-2-i- Development of state and local government digital transformation skills and capabilities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Public administration (state and local government) employees with advanced digital skills, including e-learning</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25160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School of Public Administration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people who have acquired advanced digital skills as a result of the following investments:</w:t>
              <w:br/>
              <w:t xml:space="preserve"> - the frameworks of  general and specialised digital competences, competencies development roadmaps and curriculum content have been created;</w:t>
              <w:br/>
              <w:t xml:space="preserve"> - digital competencies and skills training section with competence frameworks, curriculum and training programmes have been organised and become operational on the single digital distance learning environment/platform of public administration;</w:t>
              <w:br/>
              <w:t xml:space="preserve"> - usability of self-managed learning has been ensured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description of competence frameworks; b) learning path maps; c) list of training programmes organised; d) list of certificates for completion of the training; e) online visit data, training statistics.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the purpose of measuring the target fullfilment it shall be presumed the baseline is 0, keeping in mind that the target measures only new additional employees with advanced digital skills, including e</w:t>
        <w:footnoteRef/>
        <w:t>learning.</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