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LV-C[C4]-I[4-1-1-3-i-] Support for strengthening health infrastructure of secondary outpatient providers</w:t>
      </w:r>
    </w:p>
    <w:p w:rsidR="00DC6807" w:rsidRPr="00905B9C" w:rsidP="01BD11D8" w14:paraId="4C22E5B9" w14:textId="470FD0EC">
      <w:pPr>
        <w:jc w:val="right"/>
        <w:rPr>
          <w:b/>
          <w:bCs/>
          <w:highlight w:val="cyan"/>
          <w:lang w:val="fr-BE"/>
        </w:rPr>
      </w:pPr>
      <w:r w:rsidRPr="00905B9C" w:rsidR="005B3C6E">
        <w:rPr>
          <w:b/>
          <w:bCs/>
          <w:lang w:val="fr-BE"/>
        </w:rPr>
        <w:t>LV-C[C4]-I[4-1-1-3-i-]-T[141] Achievement of budget execution as measured by overall procurement of projects improving the infrastructure of secondary outpatient providers amounting to at least EUR 4 250 000 of total budget EUR 8 500 000.</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measure are to improve the infrastructure of secondary outpatient service providers to ensure the provision of integrated services, epidemiological safety, and environmental accessibility. The investment consists of investments in infrastructure and equipment for at least 40 secondary outpatient healthcare service providers. These investments shall be made in accordance with the recommendations for integrated care and epidemiological safety requirements, as well as investment strategy for the development of health care infrastructure for 2021-2027. The investment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141</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C4.4-1-1-3-i- Support for strengthening health infrastructure of secondary outpatient providers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Achievement of budget execution as measured by overall procurement of projects improving the infrastructure of secondary outpatient providers amounting to at least EUR 4 250 000 of total budget EUR 8 500 000.</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EUR million</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4,25</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Health</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target shall be considered to be achieved once procurement for at least 50 % of the total planned project volume) has been contracted (EUR 4 250 000) – progress shall be measured by the overall contracting of the projects against the total planned investment volume of EUR 8 500 000 in at least 40 secondary outpatient healthcare institutions aimed to improve (1) the epidemiological safety, (2) environmental accessibility and (3) infrastructure for integrated care services.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target (including all the constitutive elements) was satisfactorily fulfilled, with appropriate links to the underlying evidence. This document shall include as an annex the following documentary evidence: a) a copy from Management Information System (KPVIS) confirming the total amount of procurements processed; b) a list of the projects with the amounts contracted; c) extract of the relevant parts of the tender specifications of the calls proving alignment between the projects and the description of the target and investment in the CID Annex, taking into account in particular (1) epidemiological safety, (2) environmental accessibility and (3) infrastructure for integrated care services.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