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LV-C[C2]-R[2-3-1-r-] Development of a sustainable and socially responsible support framework for adult learning</w:t>
      </w:r>
    </w:p>
    <w:p w:rsidR="00DC6807" w:rsidRPr="00905B9C" w:rsidP="01BD11D8" w14:paraId="4C22E5B9" w14:textId="470FD0EC">
      <w:pPr>
        <w:jc w:val="right"/>
        <w:rPr>
          <w:b/>
          <w:bCs/>
          <w:highlight w:val="cyan"/>
          <w:lang w:val="fr-BE"/>
        </w:rPr>
      </w:pPr>
      <w:r w:rsidRPr="00905B9C" w:rsidR="005B3C6E">
        <w:rPr>
          <w:b/>
          <w:bCs/>
          <w:lang w:val="fr-BE"/>
        </w:rPr>
        <w:t>LV-C[C2]-R[2-3-1-r-]-M[58] Developing the concept of skills funds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adult learning participation rate to 8% (adults aged 25-64) by 31 December 2025 and facilitate reaching other targets set in the Education Development Guidelines 2021-2027. The reform shall establish and strengthen the legal framework for a sustainable and socially responsible support system for adult learning; encourage enterprises (especially SMEs) to provide their employees with opportunities to improve their skills and competences; and create more opportunities and rights for employees to participate in education and training. The reform consists of the set of policy development milestones fixed in the Education Development Guidelines 2021-2027 coming into force; setting responsibilities of enterprises for education and training of their employees; setting up and piloting individual learning accounts; and piloting three skills funds. The reform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C2.2-3-1-r- Development of a sustainable and socially responsible support framework for adult learning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Developing the concept of skills funds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Regulations of the Cabinet of Ministers entered into force</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Cabinet Regulations for the Implementation of Skills Funds have entered into force, defining the set-up of the skills funds and the rights and responsibilities of the involved parties.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of the Regulations of the Cabinet of Ministers and a link to the publication in the Official Journal, including a reference to the provision indicating the entry into force, accompanied by a summary document duly justifying how the milestone was satisfactorily fulfilled, with appropriate links to the underlying evidence.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