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LV-C[C6]-R[6-4-4-r-] IUB IT and analytical capacity building</w:t>
      </w:r>
    </w:p>
    <w:p w:rsidR="00DC6807" w:rsidRPr="00905B9C" w:rsidP="01BD11D8" w14:paraId="4C22E5B9" w14:textId="470FD0EC">
      <w:pPr>
        <w:jc w:val="right"/>
        <w:rPr>
          <w:b/>
          <w:bCs/>
          <w:highlight w:val="cyan"/>
          <w:lang w:val="fr-BE"/>
        </w:rPr>
      </w:pPr>
      <w:r w:rsidRPr="00905B9C" w:rsidR="005B3C6E">
        <w:rPr>
          <w:b/>
          <w:bCs/>
          <w:lang w:val="fr-BE"/>
        </w:rPr>
        <w:t>LV-C[C6]-R[6-4-4-r-]-M[214] Upgrade of publications management system completed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effectiveness of preventive measures to ensure a timely identification of risky public procurement (i.e. identification of risks in specific sectors, in the activity of particular contracting authorities or in the conduct of specific procurement. The reform consists of a) establishing criteria for identifying risky market sectors, customers and purchases, and b) implementing a publications management system allowing for better data analytics, optimisation of processes and improving the transparency of procurement data. The reform shall be implemented by 31 December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C6.6-4-4-r- IUB IT and analytical capacity building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Upgrade of publications management system completed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Upgrade of publications management system completed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Procurement Monitoring Bureau</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 publications management system is available, ensuring:</w:t>
              <w:br/>
              <w:t>- online access,</w:t>
              <w:br/>
              <w:t xml:space="preserve">-publication of e-forms, </w:t>
              <w:br/>
              <w:t>- overview of procurement statistics,</w:t>
              <w:br/>
              <w:t xml:space="preserve">- availability of client profiles, </w:t>
              <w:br/>
              <w:t>- module for procurement complaints process,</w:t>
              <w:br/>
              <w:t xml:space="preserve">-module for carrying out pre-checks, </w:t>
              <w:br/>
              <w:t>-module for administrative infringement process cases,</w:t>
              <w:br/>
              <w:t>- verification of convicted persons before their inclusion in the procurement commission.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that the upgrade of the publications management system has been completed and is available; b) a link to the publicly available parts of the system; c) extracts of the internal system demonstrating its functionality as foreseen in the description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The procurement complaints process, pre</w:t>
        <w:footnoteRef/>
        <w:t>checks and administrative infringement process cases will be part of the overall functionality of the system.</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