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LV-C[C7]-I[7-4-i-] Increasing the uptake of sustainable biomethane</w:t>
      </w:r>
    </w:p>
    <w:p w:rsidR="00DC6807" w:rsidRPr="00905B9C" w:rsidP="01BD11D8" w14:paraId="4C22E5B9" w14:textId="470FD0EC">
      <w:pPr>
        <w:jc w:val="right"/>
        <w:rPr>
          <w:b/>
          <w:bCs/>
          <w:highlight w:val="cyan"/>
          <w:lang w:val="fr-BE"/>
        </w:rPr>
      </w:pPr>
      <w:r w:rsidRPr="00905B9C" w:rsidR="005B3C6E">
        <w:rPr>
          <w:b/>
          <w:bCs/>
          <w:lang w:val="fr-BE"/>
        </w:rPr>
        <w:t>LV-C[C7]-I[7-4-i-]-M[229] Regulations governing investments in the biomethane sector</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This measure is aimed at increasing the uptake of sustainable biomethane in line with the sustainability and greenhouse gas emissions savings criteria from Articles from 29 to 31 and the rules on food and feed-based biofuels set out in Article 26 of the revised Renewable Energy Directive 2018/2001/EU, and related implementing and delegated acts. The measure shall result in: i) the construction of a new regional sustainable biomethane injection point (BIP). ii) the purchase and installation of an IT solution for the management of the new regional BIP, including the introduction of biomethane leak detection and prevention standards.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C7.7-4-i- Increasing the uptake of sustainable biomethane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Regulations governing investments in the biomethane sector</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Regulations governing investments in the biomethane sector</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Entry into force of the regulations of the Cabinet of Ministers on the legal framework for the investments in the construction of a regional biomethane input point and in the purchase of an IT solution for the management of the input point.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 and a list of investments governed by the regulations, with a description of their scope and objectives.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