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LV-C[C7]-I[7-2-i-] Security and stability of energy supply, and synchronisation with the Union grid</w:t>
      </w:r>
    </w:p>
    <w:p w:rsidR="00DC6807" w:rsidRPr="00905B9C" w:rsidP="01BD11D8" w14:paraId="4C22E5B9" w14:textId="470FD0EC">
      <w:pPr>
        <w:jc w:val="right"/>
        <w:rPr>
          <w:b/>
          <w:bCs/>
          <w:highlight w:val="cyan"/>
          <w:lang w:val="fr-BE"/>
        </w:rPr>
      </w:pPr>
      <w:r w:rsidRPr="00905B9C" w:rsidR="005B3C6E">
        <w:rPr>
          <w:b/>
          <w:bCs/>
          <w:lang w:val="fr-BE"/>
        </w:rPr>
        <w:t>LV-C[C7]-I[7-2-i-]-M[219] Regulation governing the installation of a Battery Energy Storage System</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investment is to increase the security and stability of energy supply, and to support the synchronisation of the national electricity grid with the Continental Europe electricity networks. The investment shall result in: i) the installation of a 60 MW Battery Energy Storage System in Rēzekne; ii) the implementation of a cybersecurity solution for critical energy transmission infrastructure; iii) the development of a concept, and the purchase and installation of software solutions, for the smart management of renewable electricity connections to the national electricity transmission grid. The investment is expected to be implemented by the national transmission system operator. The activity under point iii) is expected to be implemented in cooperation with the national distribution system operator, as well as with Estonian and Lithuanian transmission system operators. The implementation of the measure shall be completed by 31 December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219</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C7.7-2-i- Security and stability of energy supply, and synchronisation with the Union grid</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Regulation governing the installation of a Battery Energy Storage System</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Legal provisions indicating the entry into force of the Regulation</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Climate and Energy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Entry into force of the regulation of the Cabinet of Ministers on the legal framework for the investment in the installation of a Battery Energy Storage System in Rēzekne.</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Copy of the publication in the Official Journal, accompanied by a summary document duly justifying how the milestone has been satisfactorily fulfilled. This summary document shall include a reference to the relevant provisions indicating the entry into force and the provisions which fulfil the consitutive elements of the milestone, as listed in the description of the milestone and of the corresponding measure in the CID Annex.</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