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LV-C[C7]-I[7-3-i-] Upgrading, digitalising and securing the electricity transmission and distribution networks</w:t>
      </w:r>
    </w:p>
    <w:p w:rsidR="00DC6807" w:rsidRPr="00905B9C" w:rsidP="01BD11D8" w14:paraId="4C22E5B9" w14:textId="470FD0EC">
      <w:pPr>
        <w:jc w:val="right"/>
        <w:rPr>
          <w:b/>
          <w:bCs/>
          <w:highlight w:val="cyan"/>
          <w:lang w:val="fr-BE"/>
        </w:rPr>
      </w:pPr>
      <w:r w:rsidRPr="00905B9C" w:rsidR="005B3C6E">
        <w:rPr>
          <w:b/>
          <w:bCs/>
          <w:lang w:val="fr-BE"/>
        </w:rPr>
        <w:t>LV-C[C7]-I[7-3-i-]-M[223] Regulations governing investments in the national electricity transmission and distribution networks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investment is to contribute to the clean energy transition and to increase electricity security by increasing the electricity grid capacity and flexibility to accommodate a greater integration of variable renewable energy, by refurbishing transmission networks, and by digitalising distribution networks. The investment shall cover the following elements. 1. To increase the national electricity grid capacity and flexibility to accommodate a greater integration of variable renewable energy, the investment shall deliver 70 MW of new electricity grid capacity, the construction of a digital substation in Kuldīga and the refurbishment of a substation in Carnikava. 2. To modernise energy transmission lines and increase the security and stability of electricity supply, the investment shall result in the replacement of at least 150 km of existing medium-voltage overhead power lines with cable lines. 3. To digitalise the electricity distribution network for a more efficient and flexible management of energy flows, the investment shall result in: - the implementation of an advanced smart distribution management solution; - the purchase and installation of remotely controlled medium voltage circuit breakers on cable lines in transformers substations and on lines at different switching points. 4. Two studies shall be completed that are expected to contribute to Latvia’s development towards becoming a green energy exporting country. The objective of the first study is to determine the maximum amount of renewable energy that could be connected to the electricity transmission network and assess the impact of higher renewable energy sources volumes on the network. The second study has the objective of estimating electricity consumption growth and electrification potential over a 10-year timeframe. Furthermore, an Environmental Impact Assessment for an electricity transmission line project between Ventspils, Brocēni and Telšiai shall be carried out. The implementation of the measure shall be completed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223</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C7.7-3-i- Upgrading, digitalising and securing the electricity transmission and distribution networks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Regulations governing investments in the national electricity transmission and distribution networks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Legal provisions indicating the entry into force of the regulations governing investments in the national electricity transmission and distribution networks</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Climate and Energy</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Entry into force of Cabinet of Ministers’ regulations governing investments related to new electricity grid capacity, substations, transmission lines and smart energy distribution management.</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Copy of the publication in the Official Journal, accompanied by a summary document duly justifying how the milestone has been satisfactorily fulfilled. This summary document shall include a reference to the relevant provisions indicating the entry into force and the provisions which fulfil the consitutive elements of the milestone, as listed in the description of the milestone and of the corresponding measure in the CID Annex, and a list of investments governed by the regulations, with a description of their scope and objectives.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