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LV-C[C2]-I[2-2-1-1-i-] Support for the establishment of Digital Innovation Hubs and Regional Contact Points</w:t>
      </w:r>
    </w:p>
    <w:p w:rsidR="00DC6807" w:rsidRPr="00905B9C" w:rsidP="01BD11D8" w14:paraId="4C22E5B9" w14:textId="470FD0EC">
      <w:pPr>
        <w:jc w:val="right"/>
        <w:rPr>
          <w:b/>
          <w:bCs/>
          <w:highlight w:val="cyan"/>
          <w:lang w:val="fr-BE"/>
        </w:rPr>
      </w:pPr>
      <w:r w:rsidRPr="00905B9C" w:rsidR="005B3C6E">
        <w:rPr>
          <w:b/>
          <w:bCs/>
          <w:lang w:val="fr-BE"/>
        </w:rPr>
        <w:t>LV-C[C2]-I[2-2-1-1-i-]-T[43] Number of digital transformation roadmaps issued to entities other than small and medium-sized enterprises, mid-caps and the public sector by the European Digital Innovation Hub (EDIH)</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the investment is to enhance digital transformation of entities through offering tailored support measures based on identified digitalisation needs of entities. The investment consists of providing support to the operation of European Digital Innovation Hubs (EDIH). For small and medium-sized enterprises and mid-cap entities, as well as the public sector, the operation of EDIH shall be structured into work packages that aim to provide entities with a digital maturity test; train entity representatives, and identify the investment and infrastructure needs. The RRF support shall not concern work packages for which EDIH receive support under the Digital Europe Programme. The investment shall be implemented by 30 June 2026. In order to ensure that the measure complies with the ‘Do no significant harm’ Technical Guidance (2021/C58/01), the eligibility criteria contained in terms of reference for upcoming calls for projects shall exclude the following list of activities: (i) activities related to fossil fuels, including downstream use5; (ii) activities under the EU Emission Trading System (ETS) achieving projected greenhouse gas emissions that are not lower than the relevant benchmarks6; (iii) activities related to waste landfills, incinerators7and mechanical biological treatment plants8</w:t>
        <w:cr/>
        <w:br/>
        <w:t>; and (iv) activities where the long-term disposal of waste may cause harm to the environment. The terms of reference shall additionally require that only activities that comply with relevant EU and national environmental legislation can be selected.</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43</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C2.2-2-1-1-i- Support for the establishment of Digital Innovation Hubs and Regional Contact Points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Number of digital transformation roadmaps issued to entities other than small and medium-sized enterprises, mid-caps and the public sector by the European Digital Innovation Hub (EDIH)</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Roadmaps issued</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50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European Digital Innovation Hub in cooperation with other institutions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Number of digital transformation roadmaps issued to entities other than small and medium-sized enterprises, mid-caps and the public sector by the EDIH indicating at least one investment. The selection criteria shall ensure that the selected projects comply with the ‘Do no significant harm’ Technical Guidance (2021/C58/01) through the use of an exclusion list and the requirement of compliance with the relevant EU and national environmental legislation.</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following documentary evidence: a) the roadmaps issued to entities other than small and medium-sized enterprises, mid-caps and the public sector; b) extract of the official documents containing the selection criteria that ensure compliance with the ‘Do no significant harm’ Technical Guidance (2021/C58/01), as specified in the CID Annex.</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B21C74" w:rsidRPr="00B21C74" w:rsidP="00B21C74" w14:paraId="01DA0E5F" w14:textId="12B97DED">
      <w:pPr>
        <w:rPr>
          <w:lang w:val="en-IE"/>
        </w:rPr>
      </w:pPr>
      <w:r w:rsidRPr="00B21C74">
        <w:rPr>
          <w:lang w:val="en-IE"/>
        </w:rPr>
        <w:t>For the purposes of the operational arrangements, "mid</w:t>
        <w:footnoteRef/>
        <w:t>caps" shall be understood as referring to companies between 251 and 499 employees.</w:t>
        <w:tab/>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