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LV-C[C3]-I[3-1-1-1-i-] Improvement of the national network of regional and local roads</w:t>
      </w:r>
    </w:p>
    <w:p w:rsidR="00DC6807" w:rsidRPr="00905B9C" w:rsidP="01BD11D8" w14:paraId="4C22E5B9" w14:textId="470FD0EC">
      <w:pPr>
        <w:jc w:val="right"/>
        <w:rPr>
          <w:b/>
          <w:bCs/>
          <w:highlight w:val="cyan"/>
          <w:lang w:val="fr-BE"/>
        </w:rPr>
      </w:pPr>
      <w:r w:rsidRPr="00905B9C" w:rsidR="005B3C6E">
        <w:rPr>
          <w:b/>
          <w:bCs/>
          <w:lang w:val="fr-BE"/>
        </w:rPr>
        <w:t>LV-C[C3]-I[3-1-1-1-i-]-T[86] Renovated or rebuilt, regional and local roads for the safe accessibility of the county administrative centres and their services and jobs and for the full functioning of the new municipalities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 xml:space="preserve">The general objective of this investment is to renovate or rebuild state regional and local roads to improve road safety ensure the connectivity of the new municipalities and enhance the access of citizens to jobs and services. The investment measure consists of renovation or rebuilding of 210 km of state regional and local roads in accordance with a priority list of the Ministry of Environmental Protection and Regional Development defined in collaboration with planning regions, Latvian State Roads and the Ministry </w:t>
        <w:cr/>
        <w:br/>
        <w:t>of Transport. As flanking actions under investment 1.1.1.1.i. Competitive rail passenger transport within the common public transport system of the city of Riga, a battery electric train charging infrastructure shall be established in the metropolitan area of Riga and 17 low-emission vehicles (electric buses) shall be procured to complement Latvia’s public transport fleet. The main investment measure shall be implemented by 31 December 2024.</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86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C3.3-1-1-1-i- Improvement of the national network of regional and local roads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Renovated or rebuilt, regional and local roads for the safe accessibility of the county administrative centres and their services and jobs and for the full functioning of the new municipalities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Km</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70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210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Transport, State Ltd. State Roads of Latvia, Ministry of Environmental Protection and Regional Development,, Planning Regions, Local Governments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state regional and local roads have been renovated or rebuilt for the accessibility to the administrative centres of the counties and their services and jobs and for the full functioning of the new municipalities. Road construction works shall involve investments that improve road safety.</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to renovate or rebuild 210 km of state regional and local roads (including all the constitutive elements) was satisfactorily fulfilled, with appropriate links to the underlying evidence. This document shall include as an annex the following documentary evidence: a) the list of projects and for each of them: - a brief description including on the accessibility to the administrative centres of the counties and their services and jobs and for the full functioning of the relevant municipalities; - their length in km and nature (renovation or new construction), proof that each project is operational. b) a copy of the certificate of completion of 210 km of renovated or rebuilt roads including documents on. acceptance-transfer act or other opinion on completed works on the road section concerned, issued in accordance with national legislation. c) the reference to the regional and local roads and location where the project is implemented, d) evidence that the roads are on a priority list of the Ministry of Environmental Protection and Regional Development.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