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LV-C[C1]-I[1-2-1-2-i-] Increasing energy efficiency in business in the form of a combined financial instrument</w:t>
      </w:r>
    </w:p>
    <w:p w:rsidR="00DC6807" w:rsidRPr="00905B9C" w:rsidP="01BD11D8" w14:paraId="4C22E5B9" w14:textId="470FD0EC">
      <w:pPr>
        <w:jc w:val="right"/>
        <w:rPr>
          <w:b/>
          <w:bCs/>
          <w:highlight w:val="cyan"/>
          <w:lang w:val="fr-BE"/>
        </w:rPr>
      </w:pPr>
      <w:r w:rsidRPr="00905B9C" w:rsidR="005B3C6E">
        <w:rPr>
          <w:b/>
          <w:bCs/>
          <w:lang w:val="fr-BE"/>
        </w:rPr>
        <w:t>LV-C[C1]-I[1-2-1-2-i-]-T[12] Approved projects representing at least EUR 108 000 000</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measure is to improve the energy efficiency of Latvian businesses. Investments in the energy efficiency of businesses aim to promote a rationalised use of energy resources, reduce negative impacts on the environment and climate, as well as improve the productivity, competitiveness and export capacity of enterprises. This measure specifically focuses on businesses. The first pillar of the measure consists in a support programme in the form of a combined financial instrument (loan with a grant in the form of a capital discount). The investment programme shall finance investments by enterprises in improving energy efficiency, introducing renewable energy technologies, as well as investing in sustainable transport and introducing new energy-efficient technologies in production. A second pillar of the measure shall consist in grants for the development (through industrial research, experimental development, feasibility studies) of new products and technologies related to the low carbon economy, climate resilience and adaptation. The measure shall be implemented from 1 January 2022 until 31 August 2026. In order to ensure that the measure complies with the ‘Do no significant harm’ Technical Guidance (2021/C58/01), the eligibility criteria contained in terms of reference for upcoming calls for projects shall exclude the following list of activities: (i) activities related to fossil fuels, including downstream use1 ; (ii) activities under the EU Emission Trading System (ETS) achieving projected greenhouse gas emissions that are not lower than the relevant benchmarks2 ; (iii) activities related to waste landfills, incinerators3and mechanical biological treatment plants4; and (iv) activities where the long-term disposal of waste may cause harm to the environment. The terms of reference shall additionally require that only activities that comply with relevant EU and national environmental legislation may be selected.</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12</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C1.1-2-1-2-i- Increasing energy efficiency in business in the form of a combined financial instrument</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Approved projects representing at least EUR 108 000 000</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EUR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108000000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Economics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Approved projects representing at least EUR 108 000 000.</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including a list of approved projects and their amounts. In the cases of ETS installations, this document shall contain the following information: 1) Installation ID/Aircraft Operator ID in the European Union Transaction Log (EUTL) as established by Art. 5 of the Commission Regulation (EU) 389/2013; 2) The projected level of GHG emissions per unit of product for awarded projects with activities under the EU ETS; 3) Brief description of the project and technologies used.</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