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LV-C[C6]-R[6-1-1-r-] Strengthening analytics and developing data management in the field of tax administration and customs</w:t>
      </w:r>
    </w:p>
    <w:p w:rsidR="00DC6807" w:rsidRPr="00905B9C" w:rsidP="01BD11D8" w14:paraId="4C22E5B9" w14:textId="470FD0EC">
      <w:pPr>
        <w:jc w:val="right"/>
        <w:rPr>
          <w:b/>
          <w:bCs/>
          <w:highlight w:val="cyan"/>
          <w:lang w:val="fr-BE"/>
        </w:rPr>
      </w:pPr>
      <w:r w:rsidRPr="00905B9C" w:rsidR="005B3C6E">
        <w:rPr>
          <w:b/>
          <w:bCs/>
          <w:lang w:val="fr-BE"/>
        </w:rPr>
        <w:t>LV-C[C6]-R[6-1-1-r-]-M[168] Entry into operation of a basket of data-based services for each segmentation group of taxpayers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quality and efficiency of compliance risk management and other activities related to fight against shadow economy through a broad set of measures, including the adoption of a comprehensive action plan for fighting the shadow economy, introducing a new taxpayer segmentation system and adjusting the audit and control practices to better target the risk of non-compliance. The measure also includes investment in research of taxpayer behaviour that shall be used to design a more effective policy response to tax avoidance and evasion. The reform consists of: a) adoption of a national work plan to restrain the shadow economy for 2021 – 2022, b) the establishment of a taxpayer rating system and the related optimisation of audits and controls and tailoring of state revenue service (SRS) services, c) development of a handbook for recognising risks of undeclared wages, d) commissioning of research and policy recommendations in the area of the shadow economy. The reform shall be implemented by 30 June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168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C6.6-1-1-r- Strengthening analytics and developing data management in the field of tax administration and customs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operation of a basket of data-based services for each segmentation group of taxpayers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Changes to State Revenue Service’s internal rules and/or service provision platform(s)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Entry into operation of a data-based basket of services for each segmentation group of taxpayers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amended internal regulations outlining the principles of taxpayer segmentation and listing the services offered to each segment of taxpayers; b) document explaining the changes and benefits compared to the previous system; c) extract of the platform/channel which evidences the entry into operation of the databased basket of services.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