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LV-C[C2]-I[2-3-1-2-i-] Development of digital skills of enterprises</w:t>
      </w:r>
    </w:p>
    <w:p w:rsidR="00DC6807" w:rsidRPr="00905B9C" w:rsidP="01BD11D8" w14:paraId="4C22E5B9" w14:textId="470FD0EC">
      <w:pPr>
        <w:jc w:val="right"/>
        <w:rPr>
          <w:b/>
          <w:bCs/>
          <w:highlight w:val="cyan"/>
          <w:lang w:val="fr-BE"/>
        </w:rPr>
      </w:pPr>
      <w:r w:rsidRPr="00905B9C" w:rsidR="005B3C6E">
        <w:rPr>
          <w:b/>
          <w:bCs/>
          <w:lang w:val="fr-BE"/>
        </w:rPr>
        <w:t>LV-C[C2]-I[2-3-1-2-i-]-T[63] Number of businesses to whom the acquisition of basic digital skills has been ensured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increase the level of digital skills in companies. The investment consists of provision of basic digital skills trainings by the European Digital Innovation Hubs in cooperation with sectoral associations, educational institutions and involving the existing Regional Business Centres. The investment shall be implemented by 30 June 2026 for the provision of digital skills trainings for employees in 2 521 enterprises.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use17; (ii) activities under the EU Emission Trading System (ETS) achieving projected greenhouse gas emissions that are not lower than the relevant benchmarks18; (iii) activities related to waste landfills, incinerators19 and mechanical biological treatment plants20; and (iv) activities where the long-term disposal of waste may cause harm to the environment. The terms of reference shall additionally require that only activities that comply with relevant EU and national environmental legislation can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63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C2.2-3-1-2-i- Development of digital skills of enterprises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businesses to whom the acquisition of basic digital skills has been ensured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1080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sectoral associations, clusters, European Digital Innovation Centre, Central Finance and Contracting Agency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Number of businesses to whom the acquisition of basic digital skills has been ensured. The support instrument shall provide training to 1 080 enterprises including by using MOOC online courses, as well as by focusing on improving digital skills. </w:t>
              <w:br/>
              <w:t>The selection criteria shall ensure that the selected projects comply with the ‘Do no significant harm’ Technical Guidance (2021/C58/01) through the use of an exclusion list and the requirement of compliance with the relevant EU and national environmental legislation.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reports signed by the project implementers that include lists of the businesses to which the acquisition of basic digital skills has been ensured with topics of the trainings specified. The reports shall also include the selection criteria used to ensure compliance with the ‘Do no significant harm’ Technical Guidance (2021/C58/01), as specified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