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LV-C[C6]-I[6-1-1-2-i-] Development of new analytical systems</w:t>
      </w:r>
    </w:p>
    <w:p w:rsidR="00DC6807" w:rsidRPr="00905B9C" w:rsidP="01BD11D8" w14:paraId="4C22E5B9" w14:textId="470FD0EC">
      <w:pPr>
        <w:jc w:val="right"/>
        <w:rPr>
          <w:b/>
          <w:bCs/>
          <w:highlight w:val="cyan"/>
          <w:lang w:val="fr-BE"/>
        </w:rPr>
      </w:pPr>
      <w:r w:rsidRPr="00905B9C" w:rsidR="005B3C6E">
        <w:rPr>
          <w:b/>
          <w:bCs/>
          <w:lang w:val="fr-BE"/>
        </w:rPr>
        <w:t>LV-C[C6]-I[6-1-1-2-i-]-M[173] Entry into operation of new analytical systems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implement a new taxpayer segmentation system, ensure its integration with the 360 degree system of taxpayer analysis and ensure its integration with the database of publicly available information. The investment consists of the implementation of an IT system for taxpayer segmentation according to their compliance risk, including integration with a published database and data visualisation in the Electronic Declaration System, b) integration of the new system with the 360 degrees analysis of the taxpayer. The investment shall be implemented by 30 June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C6.6-1-1-2-i- Development of new analytical systems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operation of new analytical systems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Advanced risk analysis system enters into operation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An IT system for taxpayer segmentation (including integration with a published database and data visualisation in the Electronic Declaration System (EDS)) shall be developed and entered into operation. </w:t>
              <w:br/>
              <w:t>The new system is integrated with the 360 degrees analysis of the taxpayer.</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development and entry into operation of the IT system for taxpayer segmentation;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