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LV-C[C3]-I[3-1-1-2-i-] Strengthening the capacity of municipalities to improve the efficiency and quality of their operations</w:t>
      </w:r>
    </w:p>
    <w:p w:rsidR="00DC6807" w:rsidRPr="00905B9C" w:rsidP="01BD11D8" w14:paraId="4C22E5B9" w14:textId="470FD0EC">
      <w:pPr>
        <w:jc w:val="right"/>
        <w:rPr>
          <w:b/>
          <w:bCs/>
          <w:highlight w:val="cyan"/>
          <w:lang w:val="fr-BE"/>
        </w:rPr>
      </w:pPr>
      <w:r w:rsidRPr="00905B9C" w:rsidR="005B3C6E">
        <w:rPr>
          <w:b/>
          <w:bCs/>
          <w:lang w:val="fr-BE"/>
        </w:rPr>
        <w:t>LV-C[C3]-I[3-1-1-2-i-]-M[90] Completion of the assessment of local government public services, identifying shortcomings and measures to improve them</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is to improve the quality and efficiency of municipal services following the reorganisation of local administrations. The increased capacity and professional skills of municipalities aims at allowing them to better serve citizens. This investment measure consists of the adoption of a government regulation defining the scope and parameters of the capacity building actions in the municipalities, municipal public service assessments, provision of methodological support and capacity building of municipal staff, and piloting ways of planning and providing municipal services. Furthermore, the measure shall identify the shortcomings of local government services and actions for their improvement. Finally, the measure shall increase the capacity of 1 300 staff of municipalities and planning regions through dedicated trainings, study visits, exchange of experience, professional assessment and other capacity building measures. The implementation of the investment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90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C3.3-1-1-2-i- Strengthening the capacity of municipalities to improve the efficiency and quality of their operations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Completion of the assessment of local government public services, identifying shortcomings and measures to improve them</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Completion of  assessment</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Completion of the assessment of the efficiency of the provision of local government public services in accordance with the provisions of the Cabinet of Ministers Regulations on Implementation of Local Government Capacity Building Support.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This document shall include as an annex a copy of the completed report assessing the efficiency of the provision of local government public services and identifying shortcomings and measures to improve them.</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