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5.0 -->
  <w:body>
    <w:p w:rsidR="00DC6807" w:rsidRPr="004E1513" w:rsidP="004E1513" w14:paraId="1C332AE7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LV-C[C6]-I[6-1-2-4-i-] Creation of infrastructure for the performance of control services in Kundziņsala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LV-C[C6]-I[6-1-2-4-i-]-M[182] Building permit received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Q3 2024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The objective of this measure is to increase the efficiency of customs controls, reduce the administrative burden on the control service users, and to eliminate wasteful traffic of heavy-duty transport between the port and the control facilities. The investment consists in creating an integrated control services infrastructure in Kundzinsala –a port and a major cargo transport hub in Riga. The control post shall require construction of control services facilities necessary for effective and smooth controls as well as installing x-ray scanning equipment for cargo control. The investment shall be implemented by 31 August 2026.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C6.6-1-2-4-i- Creation of infrastructure for the performance of control services in Kundziņsala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Milestone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Building permit received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  <w:r w:rsidRPr="008777FB">
              <w:rPr>
                <w:lang w:val="it-IT"/>
              </w:rPr>
              <w:t>Notification of the permit approval decision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  <w:r w:rsidRPr="00D626CC">
              <w:rPr>
                <w:rFonts w:cstheme="minorBidi"/>
              </w:rPr>
              <w:t>SJSC “State Real Estate”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A building permit has been received from the Construction Board.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Summary document duly justifying how the milestone (including all the constitutive elements) was satisfactorily fulfilled, with appropriate links to the underlying evidence. This document shall include as an annex a copy of the approval of the construction project and the permit approval decision by the Construction Board and a copy of the approved building permit.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2393</Characters>
  <Application>Microsoft Office Word</Application>
  <DocSecurity>0</DocSecurity>
  <Lines>170</Lines>
  <Paragraphs>68</Paragraphs>
  <ScaleCrop>false</ScaleCrop>
  <Company>European Commission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2024-04-12T13:54:00Z</dcterms:created>
  <dcterms:modified xsi:type="dcterms:W3CDTF">2024-04-12T13:54:00Z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