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LV-C[C6]-I[6-2-1-2-i-] Strengthening the capacity to investigate economic crime</w:t>
      </w:r>
    </w:p>
    <w:p w:rsidR="00DC6807" w:rsidRPr="00905B9C" w:rsidP="01BD11D8" w14:paraId="4C22E5B9" w14:textId="470FD0EC">
      <w:pPr>
        <w:jc w:val="right"/>
        <w:rPr>
          <w:b/>
          <w:bCs/>
          <w:highlight w:val="cyan"/>
          <w:lang w:val="fr-BE"/>
        </w:rPr>
      </w:pPr>
      <w:r w:rsidRPr="00905B9C" w:rsidR="005B3C6E">
        <w:rPr>
          <w:b/>
          <w:bCs/>
          <w:lang w:val="fr-BE"/>
        </w:rPr>
        <w:t>LV-C[C6]-I[6-2-1-2-i-]-T[189] Proportion of detected criminal proceedings of environmental crimes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the availability and capacity of law enforcement officials dealing with economic crime. The measure consists of both investment and reform elements. The investment consists of a) training of speech recognition IT tool for the purposes of using it in the economic crime investigation process, b) training law enforcement officials to obtain a Criminal Anti Money Laundering Certificate and c) equipping law enforcement officials and units with electronic data processing and recording devices suitable for remote work. The investment shall be implemented by 31 March 2025. The reform consists of the adoption of a progress report on the implementation of an action plan for strengthening the fight against economic crime. The plan shall be based on the recommendations received under the Structural Reform Programme and further detailed by the State Police. The plan shall clearly define the activities to be implemented, the deadlines and the bodies responsible for implementation. The action plan shall also ensure consistency with the priorities of the Prevention of Money Laundering, Terrorist Financing and Proliferation Plan. The reform shall be implemented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C6.6-2-1-2-i- Strengthening the capacity to investigate economic crime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Proportion of detected criminal proceedings of environmental crimes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40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60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5 Latvian regional units of the State Police (environmental crime)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share of detected environmental crimes that are solved and brought to prosecution for the year 2024 shall be at least 60%.</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copy of and a link to the state police annual report demonstrating that the proportion of detected environmental crimes that are solved and brought to prosecution for the year 2024 is at least of 60%.</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