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LV-C[C6]-I[6-1-2-3-i-] Improvement of customs control of received postal items at Airport customs control point</w:t>
      </w:r>
    </w:p>
    <w:p w:rsidR="00DC6807" w:rsidRPr="00905B9C" w:rsidP="01BD11D8" w14:paraId="4C22E5B9" w14:textId="470FD0EC">
      <w:pPr>
        <w:jc w:val="right"/>
        <w:rPr>
          <w:b/>
          <w:bCs/>
          <w:highlight w:val="cyan"/>
          <w:lang w:val="fr-BE"/>
        </w:rPr>
      </w:pPr>
      <w:r w:rsidRPr="00905B9C" w:rsidR="005B3C6E">
        <w:rPr>
          <w:b/>
          <w:bCs/>
          <w:lang w:val="fr-BE"/>
        </w:rPr>
        <w:t>LV-C[C6]-I[6-1-2-3-i-]-M[180] A line for intelligent scanned and automatic sorting/analysis of postal items introduced at the Airport customs control point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control efficiency of incoming postal consignments received at Riga International Airport customs control point. The investment consists of equipping the Riga airport mail sorting facility with a smart scanning and sorting line. The investment shall be implemented by 31 March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180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C6.6-1-2-3-i- Improvement of customs control of received postal items at Airport customs control point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 line for intelligent scanned and automatic sorting/analysis of postal items introduced at the Airport customs control point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Deed of acceptance signed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 smart mail scanning and automatic sorting/analysis line is set up and in use at the airport customs control point.</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installation of the smart mail scanning system at the airport customs control point; b) an extract of technical specifications linking the requirements of with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