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LV-C[C2]-I[2-2-1-5-i-] Fostering the digital transformation of media companies</w:t>
      </w:r>
    </w:p>
    <w:p w:rsidR="00DC6807" w:rsidRPr="00905B9C" w:rsidP="01BD11D8" w14:paraId="4C22E5B9" w14:textId="470FD0EC">
      <w:pPr>
        <w:jc w:val="right"/>
        <w:rPr>
          <w:b/>
          <w:bCs/>
          <w:highlight w:val="cyan"/>
          <w:lang w:val="fr-BE"/>
        </w:rPr>
      </w:pPr>
      <w:r w:rsidRPr="00905B9C" w:rsidR="005B3C6E">
        <w:rPr>
          <w:b/>
          <w:bCs/>
          <w:lang w:val="fr-BE"/>
        </w:rPr>
        <w:t>LV-C[C2]-I[2-2-1-5-i-]-T[53] Number of platforms and digital solutions created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facilitate the digital transformation of the media sector and to facilitate the adaptation of media companies to modern media consumption trends in the digital environment. The investment consists of a support scheme for investments in the development of technological solutions and improving digital skills and business models in the media sector. The investment shall be implemented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C2.2-2-1-5-i- Fostering the digital transformation of media companies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platforms and digital solutions created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Culture and Central Finance and Contracting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Three platforms or IT solutions in the media sector have been created, tested and accessible to users.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for each of the platforms or IT solutions: a) certificate of completion of the three platform or IT solution and their testing; b) link to thethree platfroms or IT solutions, as accessible to the users.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