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LV-C[C6]-I[6-2-1-1-i-] Establishment of AML Innovation Centre to improve the identification of money laundering</w:t>
      </w:r>
    </w:p>
    <w:p w:rsidR="00DC6807" w:rsidRPr="00905B9C" w:rsidP="01BD11D8" w14:paraId="4C22E5B9" w14:textId="470FD0EC">
      <w:pPr>
        <w:jc w:val="right"/>
        <w:rPr>
          <w:b/>
          <w:bCs/>
          <w:highlight w:val="cyan"/>
          <w:lang w:val="fr-BE"/>
        </w:rPr>
      </w:pPr>
      <w:r w:rsidRPr="00905B9C" w:rsidR="005B3C6E">
        <w:rPr>
          <w:b/>
          <w:bCs/>
          <w:lang w:val="fr-BE"/>
        </w:rPr>
        <w:t>LV-C[C6]-I[6-2-1-1-i-]-M[187] An IT platform for the exchange of knowledge and documents and for the coordination of cooperation between the stakeholders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facilitate research and information sharing between the institutions involved in fight against money laundering. The investment consists of a) implementation of a secure platform for data exchange, including secure connections with external stakeholders, b) creation of an equipped research hall and a strategic communication space and c) development of algorithms for data analysis. The investment shall be implemented by 31 March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187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C6.6-2-1-1-i- Establishment of AML Innovation Centre to improve the identification of money laundering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An IT platform for the exchange of knowledge and documents and for the coordination of cooperation between the stakeholders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Completion of the IT platform for knowledge exchange and communication with stakeholders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The Financial Intelligence Service is responsible for reporting and implementation.</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1) Secure platforms for knowledge sharing, transfer and communication, including equipped research hall and a strategic communication space have been set up and are in use. The platforms shall provide for the development of algorithms for data analysis and management, definition of problems to be addressed and selection of mathematical models, and the creation of a technology analytical platform for hypotheses analysis. </w:t>
              <w:br/>
              <w:t>2) Intra-system connections between the involved parties ensuring information protection are established and operational. Necessary equipment to perform full-length functions is purchased and FIU system is adapted for the required data exchanges.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copies of the certificates of completion issued in line with national legislation confirming the set up of secure platforms for knowledge exchange, transfer and communication including a research hall, communication spaces and intra-system connections with involved parties ensuring information protection are established and operational; b) an extract of technical specifications linking the requirements of with fulfilment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