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LV-C[C3]-I[3-1-1-6-i-] Purchase of zero-emission vehicles for the performance of municipal functions and related services</w:t>
      </w:r>
    </w:p>
    <w:p w:rsidR="00DC6807" w:rsidRPr="00905B9C" w:rsidP="01BD11D8" w14:paraId="4C22E5B9" w14:textId="470FD0EC">
      <w:pPr>
        <w:jc w:val="right"/>
        <w:rPr>
          <w:b/>
          <w:bCs/>
          <w:highlight w:val="cyan"/>
          <w:lang w:val="fr-BE"/>
        </w:rPr>
      </w:pPr>
      <w:r w:rsidRPr="00905B9C" w:rsidR="005B3C6E">
        <w:rPr>
          <w:b/>
          <w:bCs/>
          <w:lang w:val="fr-BE"/>
        </w:rPr>
        <w:t>LV-C[C3]-I[3-1-1-6-i-]-T[109] Number of electric school buses purchased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performance of the municipal functions and related services with a focus on the mobility of learners in the optimised school network. A secondary objective is to contribute to the greening of public transport in Latvia by investing in zero-emission vehicles. The measure consists of the entry into force of a government regulation setting out the conditions for municipalities to obtain the support for procuring zero-emission vehicles, procurement process and delivery of 15 zero-emission vehicles (electric buses) for the transport of learners in the regions. The implementation of the investment shall be completed by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109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C3.3-1-1-6-i- Purchase of zero-emission vehicles for the performance of municipal functions and related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electric school buses purchased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Central Finance and Contracting Agency,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Delivery of 15 electric school buses to municipalities as beneficiaries for municipal transport of learners.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an extract of the relevant official documents containing evidence that the electric buses had been delivered to municipalities as beneficiaries for municipal transport of learners (e.g a document of acceptance – transfer or other proof of purchase and delivery).</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B21C74" w:rsidRPr="00B21C74" w:rsidP="00B21C74" w14:paraId="01DA0E5F" w14:textId="12B97DED">
      <w:pPr>
        <w:rPr>
          <w:lang w:val="en-IE"/>
        </w:rPr>
      </w:pPr>
      <w:r w:rsidRPr="00B21C74">
        <w:rPr>
          <w:lang w:val="en-IE"/>
        </w:rPr>
        <w:t>Targets 108 and 109 are interlinked. While target 108 focuses on award of contracts for the purchase of electric buses for the indicated total amount, target 109 stipulates that 15 electrical school buses shall be purchased and delivered to municipalities as beneficiaries.</w:t>
        <w:tab/>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