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5.0 -->
  <w:body>
    <w:p w:rsidR="00DC6807" w:rsidRPr="004E1513" w:rsidP="004E1513" w14:paraId="1C332AE7"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LV-C[C1]-I[1-2-1-3-i-] Improving municipal buildings and infrastructure by promoting the transition to renewable energy technologies and improving energy efficiency</w:t>
      </w:r>
    </w:p>
    <w:p w:rsidR="00DC6807" w:rsidRPr="00905B9C" w:rsidP="01BD11D8" w14:paraId="4C22E5B9" w14:textId="470FD0EC">
      <w:pPr>
        <w:jc w:val="right"/>
        <w:rPr>
          <w:b/>
          <w:bCs/>
          <w:highlight w:val="cyan"/>
          <w:lang w:val="fr-BE"/>
        </w:rPr>
      </w:pPr>
      <w:r w:rsidRPr="00905B9C" w:rsidR="005B3C6E">
        <w:rPr>
          <w:b/>
          <w:bCs/>
          <w:lang w:val="fr-BE"/>
        </w:rPr>
        <w:t>LV-C[C1]-I[1-2-1-3-i-]-T[15] Reduction in primary energy consumption in municipal buildings and infrastructure</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Q4 2025</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measure is to improve the energy efficiency of Latvian municipal buildings. A large part of existing municipal buildings had been built before thermal requirements for building were increased and therefore have a low energy performance. More specifically, the objective of the measure is to improve the energy efficiency of local government buildings and infrastructure in order to reduce annual primary energy consumption and reduce GHG emissions. As a complementary objective, this measure is also expected to reduce the cost of maintenance of municipal buildings. The measure consists of investments in energy efficiency renovation in buildings owned by local government (and mixed properties where the municipalities are majority shareholders), including buildings dedicated to social housing, health care, education and social services. The measure shall be implemented from 1 January 2022 until 31 December 2025.</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15</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C1.1-2-1-3-i- Improving municipal buildings and infrastructure by promoting the transition to renewable energy technologies and improving energy efficiency</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Reduction in primary energy consumption in municipal buildings and infrastructure</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KWh/Year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4544563</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Q4</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2025</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Environmental Protection and Regional Development, local authorities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Reduction in primary energy consumption in municipal buildings and infrastructure resulting from energy efficiency improvement measures in municipal buildings and infrastructure supported under the measure. Energy certificates may be used to demonstrate the reduction in primary energy consumption. The measures shall aim to reduce primary energy consumption by at least 30 %.</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a) aggregated energy performance certificates before and after the renovation action; b) the list of structures renovated and, for each structure, the renovation actions completed, the registration numbers of the energy performance certificates before and after the renovation action, and expected energy saving achieved.</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348</Words>
  <Characters>2393</Characters>
  <Application>Microsoft Office Word</Application>
  <DocSecurity>0</DocSecurity>
  <Lines>170</Lines>
  <Paragraphs>68</Paragraphs>
  <ScaleCrop>false</ScaleCrop>
  <Company>European Commission</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2024-04-12T13:54:00Z</dcterms:created>
  <dcterms:modified xsi:type="dcterms:W3CDTF">2024-04-12T13:54:00Z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