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LV-C[C7]-I[7-4-i-] Increasing the uptake of sustainable biomethane</w:t>
      </w:r>
    </w:p>
    <w:p w:rsidR="00DC6807" w:rsidRPr="00905B9C" w:rsidP="01BD11D8" w14:paraId="4C22E5B9" w14:textId="470FD0EC">
      <w:pPr>
        <w:jc w:val="right"/>
        <w:rPr>
          <w:b/>
          <w:bCs/>
          <w:highlight w:val="cyan"/>
          <w:lang w:val="fr-BE"/>
        </w:rPr>
      </w:pPr>
      <w:r w:rsidRPr="00905B9C" w:rsidR="005B3C6E">
        <w:rPr>
          <w:b/>
          <w:bCs/>
          <w:lang w:val="fr-BE"/>
        </w:rPr>
        <w:t>LV-C[C7]-I[7-4-i-]-M[230] Award of contracts for the construction of a regional biomethane injection point and for an IT solution for its smart management</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This measure is aimed at increasing the uptake of sustainable biomethane in line with the sustainability and greenhouse gas emissions savings criteria from Articles from 29 to 31 and the rules on food and feed-based biofuels set out in Article 26 of the revised Renewable Energy Directive 2018/2001/EU, and related implementing and delegated acts. The measure shall result in: i) the construction of a new regional sustainable biomethane injection point (BIP). ii) the purchase and installation of an IT solution for the management of the new regional BIP, including the introduction of biomethane leak detection and prevention standards. The implementation of the measure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230</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C7.7-4-i- Increasing the uptake of sustainable biomethane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Award of contracts for the construction of a regional biomethane injection point and for an IT solution for its smart management</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Notification of the award of contracts</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Climate and Energy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Awarded contracts for the construction of a regional biomethane injection point and for an IT solution for the smart management of the injection point.</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milestone (including all the constitutive elements) was satisfactorily fulfilled, with appropriate links to the underlying evidence. This document shall include as an annex a copy of the awarded contracts.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