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LV-C[C2]-R[2-3-1-r-] Development of a sustainable and socially responsible support framework for adult learning</w:t>
      </w:r>
    </w:p>
    <w:p w:rsidR="00DC6807" w:rsidRPr="00905B9C" w:rsidP="01BD11D8" w14:paraId="4C22E5B9" w14:textId="470FD0EC">
      <w:pPr>
        <w:jc w:val="right"/>
        <w:rPr>
          <w:b/>
          <w:bCs/>
          <w:highlight w:val="cyan"/>
          <w:lang w:val="fr-BE"/>
        </w:rPr>
      </w:pPr>
      <w:r w:rsidRPr="00905B9C" w:rsidR="005B3C6E">
        <w:rPr>
          <w:b/>
          <w:bCs/>
          <w:lang w:val="fr-BE"/>
        </w:rPr>
        <w:t>LV-C[C2]-R[2-3-1-r-]-T[56] Share of adults (25-64) involved in adult learning in the last four weeks prior to the survey (%)</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reform are to increase the adult learning participation rate to 8% (adults aged 25-64) by 31 December 2025 and facilitate reaching other targets set in the Education Development Guidelines 2021-2027. The reform shall establish and strengthen the legal framework for a sustainable and socially responsible support system for adult learning; encourage enterprises (especially SMEs) to provide their employees with opportunities to improve their skills and competences; and create more opportunities and rights for employees to participate in education and training. The reform consists of the set of policy development milestones fixed in the Education Development Guidelines 2021-2027 coming into force; setting responsibilities of enterprises for education and training of their employees; setting up and piloting individual learning accounts; and piloting three skills funds. The reform shall be implemented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56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C2.2-3-1-r- Development of a sustainable and socially responsible support framework for adult learning</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Share of adults (25-64) involved in adult learning in the last four weeks prior to the survey (%)</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6,6</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8</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target to be achieved within the framework of the plan is determined on the basis of the mid-term goal of Latvia’s medium-term policy planning document – Education Development Guidelines 2021-2027, which is planned to be approved by the Cabinet of Ministers by mid-2021 – to increase adult participation in learning from 6,6% (2020) to 12 % (2027), which is to increase adult participation in learning to 8 % by 2025.  The achievement of the target is directly linked to planned reform measures for the development of adult learning.</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Annual Labour Force Survey - assessment of the impact of the changes on the share of adults (25-64) involved in adult learning (carried out in the framework of the Eurostat LFS, https://ec.europa.eu/eurostat/web/microd ata/european-union-labour-force-survey).</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