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LV-C[C6]-I[6-2-1-3-i-]-M[192] Entry into force of the law and other legal acts related to the justice training centre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the law and other legal acts related to the justice training centre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the regulatory framework for the operation of the training centre and public funding ensured in state budget law for 2025 and 2026.</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has entered into force:</w:t>
              <w:br/>
              <w:t xml:space="preserve"> - A law for the establishment and operation of the institutional model of the justice training centre entered into force, including the definition of the involvement of the judiciary and the Judicial Council on training content and methodology. </w:t>
              <w:br/>
              <w:t xml:space="preserve"> —State budget funding for the financing of the full coverage of the training centre’s maintenance costs, staff costs and training content expenses, including the updating of training programmes from 2025 onwards shall be ensured.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and a link to the law establishing the justice training center, including a reference to the provision indicating the entry into force; b) a copy of and a link to the relevant parts of the State budget law with an accompanying document referring to the parts relevant for the fulfilment of the milestone including a reference to the provision indicating the entry into force.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