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LV-C[C2]-I[2-3-1-2-i-] Development of digital skills of enterprises</w:t>
      </w:r>
    </w:p>
    <w:p w:rsidR="00DC6807" w:rsidRPr="00905B9C" w:rsidP="01BD11D8" w14:paraId="4C22E5B9" w14:textId="470FD0EC">
      <w:pPr>
        <w:jc w:val="right"/>
        <w:rPr>
          <w:b/>
          <w:bCs/>
          <w:highlight w:val="cyan"/>
          <w:lang w:val="fr-BE"/>
        </w:rPr>
      </w:pPr>
      <w:r w:rsidRPr="00905B9C" w:rsidR="005B3C6E">
        <w:rPr>
          <w:b/>
          <w:bCs/>
          <w:lang w:val="fr-BE"/>
        </w:rPr>
        <w:t>LV-C[C2]-I[2-3-1-2-i-]-T[64] Number of trainings on basic digital skills provided to enterprises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increase the level of digital skills in companies. The investment consists of provision of basic digital skills trainings by the European Digital Innovation Hubs in cooperation with sectoral associations, educational institutions and involving the existing Regional Business Centres. The investment shall be implemented by 30 June 2026 for the provision of digital skills trainings for employees in 2 521 enterprises.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use17; (ii) activities under the EU Emission Trading System (ETS) achieving projected greenhouse gas emissions that are not lower than the relevant benchmarks18; (iii) activities related to waste landfills, incinerators19 and mechanical biological treatment plants20;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C2.2-3-1-2-i- Development of digital skills of enterprises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trainings on basic digital skills provided to enterprises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628</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2080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sectoral associations, clusters, European Digital Innovation Centre,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trainings on basic digital skills provided to enterprises.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reports signed by the project implementers that include lists of the businesses to which the acquisition of basic digital skills has been ensured with topics of the trainings specified. The reports shall also include the selection criteria used to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