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LV-C[C1]-I[1-2-1-5-i-] Modernisation of electricity transmission and distribution networks</w:t>
      </w:r>
    </w:p>
    <w:p w:rsidR="00DC6807" w:rsidRPr="00905B9C" w:rsidP="01BD11D8" w14:paraId="4C22E5B9" w14:textId="470FD0EC">
      <w:pPr>
        <w:jc w:val="right"/>
        <w:rPr>
          <w:b/>
          <w:bCs/>
          <w:highlight w:val="cyan"/>
          <w:lang w:val="fr-BE"/>
        </w:rPr>
      </w:pPr>
      <w:r w:rsidRPr="00905B9C" w:rsidR="005B3C6E">
        <w:rPr>
          <w:b/>
          <w:bCs/>
          <w:lang w:val="fr-BE"/>
        </w:rPr>
        <w:t>LV-C[C1]-I[1-2-1-5-i-]-T[20] Connection points for electric vehicles charging and/or microgeneration installation</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contribute to reaching climate neutrality objectives by creating a sustainable grid infrastructure in which green technologies notably wind may be more easily deployed. Investments in the green transformation of electricity grids and digital infrastructure are necessary to provide adequate electricity supply infrastructure for electro-mobility, and sustainable and efficient system operation. The measure is also expected to contribute to the synchronisation of the Baltic electricity systems with continental European networks and the objectives and activities of the Baltic Electricity Market Integration Plan. The measure consists of direct investment in upgrading the electricity grid, developing IT solutions to increase the flexibility and security of the transmission system and distribution system and creating among others a national electricity market data exchange and storage platform and an automated smart metering system. The measure shall also improve the regulatory framework and the enabling conditions to facilitate the deployment of onshore wind energy on state forest land and to reduce legal uncertainty for investments in wind power. The measure shall be implemented from 1 January 2022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20</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C1.1-2-1-5-i- Modernisation of electricity transmission and distribution networks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Connection points for electric vehicles charging and/or microgeneration installation</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2060</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Combined number of operational connection points for electric vehicles charging and/or operational microgeneration installation</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was satisfactorily fulfilled, with appropriate links to the underlying evidence. This document shall include as an annex: a) the list with the locations and a short description of the operational connection points for electric vehicles charging and/or operational microgeneration installation; b) certificates proving that connection points and microgeneration installation are operational.</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