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LV-C[C3]-I[3-1-2-4-i-] Synergistic development of social and vocational rehabilitation services for the promotion of the safety of people with functional impairments</w:t>
      </w:r>
    </w:p>
    <w:p w:rsidR="00DC6807" w:rsidRPr="00905B9C" w:rsidP="01BD11D8" w14:paraId="4C22E5B9" w14:textId="470FD0EC">
      <w:pPr>
        <w:jc w:val="right"/>
        <w:rPr>
          <w:b/>
          <w:bCs/>
          <w:highlight w:val="cyan"/>
          <w:lang w:val="fr-BE"/>
        </w:rPr>
      </w:pPr>
      <w:r w:rsidRPr="00905B9C" w:rsidR="005B3C6E">
        <w:rPr>
          <w:b/>
          <w:bCs/>
          <w:lang w:val="fr-BE"/>
        </w:rPr>
        <w:t>LV-C[C3]-I[3-1-2-4-i-]-M[125] Adaptation of building infrastructure, including promotion of environmental accessibility and energy efficiency, and improvement of the technical and material equipment</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Q1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investment measure is to improve the social inclusion and rehabilitation of persons with functional disabilities through the development and application of a uniform service standard. The measure consists of the development, piloting and adoption of a vocational rehabilitation service standard that promotes the maintenance, renewal and acquisition of new education or skills for re</w:t>
        <w:footnoteRef/>
        <w:t>employment for persons with physical disabilities. The measure shall also help to improve the infrastructure and equipment in buildings where services shall be provided. The implementation of the investment shall be completed by 30 June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125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C3.3-1-2-4-i- Synergistic development of social and vocational rehabilitation services for the promotion of the safety of people with functional impairments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Adaptation of building infrastructure, including promotion of environmental accessibility and energy efficiency, and improvement of the technical and material equipment</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Adaptation of  2 buildings where the infrastructure shall  be improved, including environmental accessibility and energy efficiency, and the improvement of the technical and material equipment</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Q1</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Welfare/ Social Integration State Agency</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The infrastructure and logistical equipment have been improved in buildings where services shall be provided to promote the resilience of people with functional impairments, including: </w:t>
              <w:br/>
              <w:t xml:space="preserve"> — measures to adapt the environment of the building Slokas street 61, Jūrmala</w:t>
              <w:br/>
              <w:t xml:space="preserve"> — Increased energy efficiency in the building Dubultu prospect 71, Jūrmala</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following documentary evidence: a) a copy of the certificate of completion of 2 buildings with the improved infrastructure and the technical and material equipment issued in accordance with the national legislation; b) type of intervention and brief justification proving alignment with the description of the milestone in the CID Annex; c) aggregated energy performance certificates before and after the renovation action/adaptation of buildings to increase energy efficiency in the buildings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