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LV-C[C2]-I[2-3-1-4-i-] Development of the approach to individual learning accounts</w:t>
      </w:r>
    </w:p>
    <w:p w:rsidR="00DC6807" w:rsidRPr="00905B9C" w:rsidP="01BD11D8" w14:paraId="4C22E5B9" w14:textId="470FD0EC">
      <w:pPr>
        <w:jc w:val="right"/>
        <w:rPr>
          <w:b/>
          <w:bCs/>
          <w:highlight w:val="cyan"/>
          <w:lang w:val="fr-BE"/>
        </w:rPr>
      </w:pPr>
      <w:r w:rsidRPr="00905B9C" w:rsidR="005B3C6E">
        <w:rPr>
          <w:b/>
          <w:bCs/>
          <w:lang w:val="fr-BE"/>
        </w:rPr>
        <w:t>LV-C[C2]-I[2-3-1-4-i-]-T[67] Adults supported to acquire digital skills through individual learning account resources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investment are to develop and approve the concept of individual learning accounts (ILAs) in order to stimulate adult participation in education, in particular improving digital skills. The investment consists of supporting 3500 adults to acquire digital skills through individual learning accounts. This shall be implemented by making available the best digital learning tools; using specialised solutions for high-quality machine translation and other artificial intelligence technologies, involving education experts in the validation and adaptation of localised content. The investment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67</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C2.2-3-1-4-i- Development of the approach to individual learning accounts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Adults supported to acquire digital skills through individual learning account resources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1000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3500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Education and Science</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Adults supported to acquire digital skills through individual learning account resources.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list of certificates issued for completing the training.</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