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LV-C[C1]-I[1-3-1-2-i-] Investments in flood risk reduction infrastructure</w:t>
      </w:r>
    </w:p>
    <w:p w:rsidR="00DC6807" w:rsidRPr="00905B9C" w:rsidP="01BD11D8" w14:paraId="4C22E5B9" w14:textId="470FD0EC">
      <w:pPr>
        <w:jc w:val="right"/>
        <w:rPr>
          <w:b/>
          <w:bCs/>
          <w:highlight w:val="cyan"/>
          <w:lang w:val="fr-BE"/>
        </w:rPr>
      </w:pPr>
      <w:r w:rsidRPr="00905B9C" w:rsidR="005B3C6E">
        <w:rPr>
          <w:b/>
          <w:bCs/>
          <w:lang w:val="fr-BE"/>
        </w:rPr>
        <w:t>LV-C[C1]-I[1-3-1-2-i-]-T[26] Number of investment projects completed</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climate change adaptation by preventing floods. It shall lead to the implementation of investment projects protecting against the risk of flooding. The measure consists of investments in flood risk reduction infrastructure, including rebuilding and renewal of polder pumping stations, renewal of protective dikes and a canal.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26</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C1.1-3-1-2-i- Investments in flood risk reduction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Number of investment projects completed</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21</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Agriculture, real estate of the Ministry of Agriculture</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 xml:space="preserve">The following projects protecting against the risk of flooding shall be completed:  </w:t>
              <w:br/>
              <w:br/>
              <w:t xml:space="preserve"> - Eight pumping stations, including i) Reinis pumping station, ii) Kulciems pumping station and iii) Vezi pumping station;   </w:t>
              <w:br/>
              <w:br/>
              <w:t xml:space="preserve"> - Twelve protective dikes, including i) Bernati polder, ii) Barta polder, iii) Rezekne left bank dyke, iv) Osa polder dyke;  </w:t>
              <w:br/>
              <w:br/>
              <w:t xml:space="preserve"> - One canal. </w:t>
              <w:br/>
              <w:br/>
              <w:t xml:space="preserve">To  ensure compliance with the DNSH principles in line with the DNSH Guidelines (2021/C58/01), the measure shall:   </w:t>
              <w:br/>
              <w:br/>
              <w:t xml:space="preserve">i) where relevant, include  “appropriate assessments”  as referred to in article 6(3) of the Habitats Directive  in order to  assess the impacts of the proposed measures on protected species and habitats  (as defined under the Birds Directive (Directive 2009/147/EC) and the Habitats Directives (Council Directive 92/43/EEC)).  These  appropriate assessments  should be carried out for  all projects  located  in or near biodiversity-sensitive areas; </w:t>
              <w:br/>
              <w:br/>
              <w:t xml:space="preserve">ii) ensure that the sites in relation to which  an appropriate assessment  are carried out have site-specific conservation  objectives  and  that  necessary conservation measures  are  in place in line with the Habitats  Directive;    </w:t>
              <w:br/>
              <w:br/>
              <w:t>iii) ensure full compliance with the Water Framework Directive (Directive/2000/60/EC) and  not cause  net-deterioration in the status of water bodies, in  conformity with Article 4.7 of this Directive.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certificate of completion for the projects mentioned in the target description; b) a short description of each project and a detailed analysis of its compliance with the DNSH principle as defined in the description of the target (including a link to the “appropriate assessments”).</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