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LV-C[C7]-I[7-3-i-] Upgrading, digitalising and securing the electricity transmission and distribution networks</w:t>
      </w:r>
    </w:p>
    <w:p w:rsidR="00DC6807" w:rsidRPr="00905B9C" w:rsidP="01BD11D8" w14:paraId="4C22E5B9" w14:textId="470FD0EC">
      <w:pPr>
        <w:jc w:val="right"/>
        <w:rPr>
          <w:b/>
          <w:bCs/>
          <w:highlight w:val="cyan"/>
          <w:lang w:val="fr-BE"/>
        </w:rPr>
      </w:pPr>
      <w:r w:rsidRPr="00905B9C" w:rsidR="005B3C6E">
        <w:rPr>
          <w:b/>
          <w:bCs/>
          <w:lang w:val="fr-BE"/>
        </w:rPr>
        <w:t>LV-C[C7]-I[7-3-i-]-M[228] Studies and environmental impact assessment</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Q2 2026</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this investment is to contribute to the clean energy transition and to increase electricity security by increasing the electricity grid capacity and flexibility to accommodate a greater integration of variable renewable energy, by refurbishing transmission networks, and by digitalising distribution networks. The investment shall cover the following elements. 1. To increase the national electricity grid capacity and flexibility to accommodate a greater integration of variable renewable energy, the investment shall deliver 70 MW of new electricity grid capacity, the construction of a digital substation in Kuldīga and the refurbishment of a substation in Carnikava. 2. To modernise energy transmission lines and increase the security and stability of electricity supply, the investment shall result in the replacement of at least 150 km of existing medium-voltage overhead power lines with cable lines. 3. To digitalise the electricity distribution network for a more efficient and flexible management of energy flows, the investment shall result in: - the implementation of an advanced smart distribution management solution; - the purchase and installation of remotely controlled medium voltage circuit breakers on cable lines in transformers substations and on lines at different switching points. 4. Two studies shall be completed that are expected to contribute to Latvia’s development towards becoming a green energy exporting country. The objective of the first study is to determine the maximum amount of renewable energy that could be connected to the electricity transmission network and assess the impact of higher renewable energy sources volumes on the network. The second study has the objective of estimating electricity consumption growth and electrification potential over a 10-year timeframe. Furthermore, an Environmental Impact Assessment for an electricity transmission line project between Ventspils, Brocēni and Telšiai shall be carried out. The implementation of the measure shall be completed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228</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C7.7-3-i- Upgrading, digitalising and securing the electricity transmission and distribution networks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Studies and environmental impact assessment</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Studies and environmental impact assessment have been completed</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Q2</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2026</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Climate and Energy</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 xml:space="preserve">Completion of two studies and one Environmental Impact Assessment.   </w:t>
              <w:br/>
              <w:br/>
              <w:t xml:space="preserve">The first study shall include:  </w:t>
              <w:br/>
              <w:t xml:space="preserve">- A determination of the maximum amount of renewable energy sources that can be connected to the electricity transmission network under different scenarios;  </w:t>
              <w:br/>
              <w:br/>
              <w:t xml:space="preserve">- Calculations on the expected impact of set renewable energy sources volumes on the safety and stability of the transmission network and identification of possible solutions related to this.  </w:t>
              <w:br/>
              <w:br/>
              <w:t xml:space="preserve">The second study shall include:  </w:t>
              <w:br/>
              <w:t xml:space="preserve">- Estimates of electricity consumption growth and electrification potential over a 10-year timeframe;  </w:t>
              <w:br/>
              <w:br/>
              <w:t xml:space="preserve">- A forecast methodology for capacity adequacy and network development planning. </w:t>
              <w:br/>
              <w:t xml:space="preserve"> </w:t>
              <w:br/>
              <w:t>The Environmental Impact Assessment shall identify the most environmentally friendly and cost-efficient options for the construction of an electricity transmission line project between Ventspils, Brocēni and Telšiai.</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 xml:space="preserve">A summary document duly justifying how the milestone (including all the constitutive elements, as listed in the description of the milestone and of the corresponding measure in the CID annex) was satisfactorily fulfilled, with appropriate links to the underlying evidence. The document shall include as an annex: - a copy of the first study mentioned in the description of the milestone; - a copy of the second study mentioned in the description of the milestone; - a copy of the Environmental Impact </w:t>
        <w:cr/>
        <w:br/>
        <w:t>Assessment mentioned in the description of the milestone.</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