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LV-C[C5]-R[5-2-1-r-] Reform of Higher Education and Scientific Excellence and Governance</w:t>
      </w:r>
    </w:p>
    <w:p w:rsidR="00DC6807" w:rsidRPr="00905B9C" w:rsidP="01BD11D8" w14:paraId="4C22E5B9" w14:textId="470FD0EC">
      <w:pPr>
        <w:jc w:val="right"/>
        <w:rPr>
          <w:b/>
          <w:bCs/>
          <w:highlight w:val="cyan"/>
          <w:lang w:val="fr-BE"/>
        </w:rPr>
      </w:pPr>
      <w:r w:rsidRPr="00905B9C" w:rsidR="005B3C6E">
        <w:rPr>
          <w:b/>
          <w:bCs/>
          <w:lang w:val="fr-BE"/>
        </w:rPr>
        <w:t>LV-C[C5]-R[5-2-1-r-]-T[162] Share of public higher education institutions affected by governance changes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reform are to increase the international competitiveness of higher education institutions. The reform concerns structural changes in three pillars: (i) the governance through establishing a separate academic and strategic decision-making, involving external members; (ii) funding that shall be allocated according to the results achieved according to national priorities and higher education institution typology objectives; and (iii) human resources by developing a new and unified career model for academic and scientific staff in line with best global practice, promoting the attraction and retention of global staff, especially the diaspora in Latvia. By 31 December 2022, the measure shall ensure the entry into force of the regulatory framework for implementing the reform of the governance of the higher education system covering (i) higher education institution typologies and criteria for qualifying for a particular type; (ii) the procedure for the establishment and approval of higher education institution councils, the competence of the councils, while clarifying the competences of the Senate, the Rector and the Constitutional Assembly; (iii) the procedure for selecting and approving new university reactors; (iv) defining the strategic specialisation of higher education institutions . By 30 September 2023 at least four consolidation plans of institutions of higher education shall be approved and eligible for consolidation grants (investment: 5.2.1.1i. Research, development and consolidation grants). By 31 December 2024, the measure shall ensure the entry into force of legal provisions (i) introducing a new doctoral model; (ii) introducing cyclical institutional accreditation of higher education institutions and colleges; (iii) further development of the financing model for higher education and (iv) linking public funding to the results of the international evaluation of scientific institutions. By 31 August 2026, all state-founded higher education institutions shall implement the new governance model, including changes to the internal governing bodies, established the criteria for election of the rector in accordance with the requirements of the law, appointed a management team.</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162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C5.5-2-1-r- Reform of Higher Education and Scientific Excellence and Governance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Share of public higher education institutions affected by governance changes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100% of public higher education institutions have implemented the new governance model, including:</w:t>
              <w:br/>
              <w:t>-  accordingly modified statues and other internal regulations</w:t>
              <w:br/>
              <w:t xml:space="preserve">- internal governing bodies (senate, council, rector) operate according to the new division of responsibilities and competences, </w:t>
              <w:br/>
              <w:t>- criteria for the election of a rector have been revised according to the law</w:t>
              <w:br/>
              <w:t>- the appointment of a management team that separates academic and strategic decision making</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The document shall include as an annex: a link to modified statutes and other internal regulations of all state</w:t>
        <w:footnoteRef/>
        <w:t>founded higher education institutions and documentation justifying how they meet the requirements of the target.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