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LV-C[C1]-I[1-2-1-2-i-] Increasing energy efficiency in business in the form of a combined financial instrument</w:t>
      </w:r>
    </w:p>
    <w:p w:rsidR="00DC6807" w:rsidRPr="00905B9C" w:rsidP="01BD11D8" w14:paraId="4C22E5B9" w14:textId="470FD0EC">
      <w:pPr>
        <w:jc w:val="right"/>
        <w:rPr>
          <w:b/>
          <w:bCs/>
          <w:highlight w:val="cyan"/>
          <w:lang w:val="fr-BE"/>
        </w:rPr>
      </w:pPr>
      <w:r w:rsidRPr="00905B9C" w:rsidR="005B3C6E">
        <w:rPr>
          <w:b/>
          <w:bCs/>
          <w:lang w:val="fr-BE"/>
        </w:rPr>
        <w:t>LV-C[C1]-I[1-2-1-2-i-]-T[11] Planned GHG emission savings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Latvian businesses. Investments in the energy efficiency of businesses aim to promote a rationalised use of energy resources, reduce negative impacts on the environment and climate, as well as improve the productivity, competitiveness and export capacity of enterprises. This measure specifically focuses on businesses. The first pillar of the measure consists in a support programme in the form of a combined financial instrument (loan with a grant in the form of a capital discount). The investment programme shall finance investments by enterprises in improving energy efficiency, introducing renewable energy technologies, as well as investing in sustainable transport and introducing new energy-efficient technologies in production. A second pillar of the measure shall consist in grants for the development (through industrial research, experimental development, feasibility studies) of new products and technologies related to the low carbon economy, climate resilience and adaptation. The measure shall be implemented from 1 January 2022 until 31 August 2026. In order to ensure that the measure complies with the ‘Do no significant harm’ Technical Guidance (2021/C58/01), the eligibility criteria contained in terms of reference for upcoming calls for projects shall exclude the following list of activities: (i) activities related to fossil fuels, including downstream use1 ; (ii) activities under the EU Emission Trading System (ETS) achieving projected greenhouse gas emissions that are not lower than the relevant benchmarks2 ; (iii) activities related to waste landfills, incinerators3and mechanical biological treatment plants4; and (iv) activities where the long-term disposal of waste may cause harm to the environment. The terms of reference shall additionally require that only activities that comply with relevant EU and national environmental legislation may be selected.</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11</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C1.1-2-1-2-i- Increasing energy efficiency in business in the form of a combined financial instrument</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Planned GHG emission savings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Co2 equivalent in t/year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11498</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ALTUM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Greenhouse Gases emissions savings, in Co2 equivalent per ton, based on expected emission savings as a result of the measure.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(based on expected emission savings) was satisfactorily fulfilled, with appropriate links to the underlying evidence including a detailed explanation of the method used to calculate expected emission savings. In the cases of ETS installations, this document shall contain the following information: 1) Installation ID/Aircraft Operator ID in the European Union Transaction Log (EUTL) as established by Art. 5 of the Commission Regulation (EU) 389/2013; 2) The projected level of GHG emissions per unit of product for awarded projects with activities under the EU ETS; 3) Brief description of the project and technologies used.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