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LV-C[C2]-I[2-1-1-1-i-] Administration modernisation and digital transformation of services, including business environment</w:t>
      </w:r>
    </w:p>
    <w:p w:rsidR="00DC6807" w:rsidRPr="00905B9C" w:rsidP="01BD11D8" w14:paraId="4C22E5B9" w14:textId="470FD0EC">
      <w:pPr>
        <w:jc w:val="right"/>
        <w:rPr>
          <w:b/>
          <w:bCs/>
          <w:highlight w:val="cyan"/>
          <w:lang w:val="fr-BE"/>
        </w:rPr>
      </w:pPr>
      <w:r w:rsidRPr="00905B9C" w:rsidR="005B3C6E">
        <w:rPr>
          <w:b/>
          <w:bCs/>
          <w:lang w:val="fr-BE"/>
        </w:rPr>
        <w:t>LV-C[C2]-I[2-1-1-1-i-]-T[30] Delivery of ICT solutions for modernised public administration functions (including systems)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measure is to transform public administration services and their delivery processes for the effective implementation of the digital transformation of the economy. It shall be done through the use of innovative technologies and approaches, including artificial intelligence and machine learning solutions, as well as by introducing a data-based foresight and decision-making approach to service and process management and ensuring the full implementation of the ‘once-only’ principle.</w:t>
        <w:cr/>
        <w:br/>
        <w:t>The measure consists of investments in 11 individual systems or solutions in at least the following 4 areas: 1) the domestic affairs sector, including civil protection, fire safety supervision and public safety; 2) the cultural sector, including the accumulation of the heritage of archives, libraries, museums, cultural monuments and media content; 3) management of port logistics services; 4) support of ICT management processes.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30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C2.2-1-1-1-i- Administration modernisation and digital transformation of services, including business environment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Delivery of ICT solutions for modernised public administration functions (including systems)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11</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Institutions implementing development activities/Ministry of Environmental Protection and Regional Development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public administration function shall be modernised with the following ICT solutions and systems fully operational in at least the following 4 areas: 1) the domestic affairs sector, including civil protection, fire safety supervision and public safety; 2) the cultural sector, including the accumulation of the heritage of archives, libraries, museums, cultural monuments and media content; 3) management of port logistics services; 4) support of ICT management processes.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calls for tender; b) certificate of entry into operation of ICT solutions and systems specifying how they provide the upgraded services. c) list of selected providers.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