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LV-C[C4]-I[4-1-1-3-i-] Support for strengthening health infrastructure of secondary outpatient providers</w:t>
      </w:r>
    </w:p>
    <w:p w:rsidR="00DC6807" w:rsidRPr="00905B9C" w:rsidP="01BD11D8" w14:paraId="4C22E5B9" w14:textId="470FD0EC">
      <w:pPr>
        <w:jc w:val="right"/>
        <w:rPr>
          <w:b/>
          <w:bCs/>
          <w:highlight w:val="cyan"/>
          <w:lang w:val="fr-BE"/>
        </w:rPr>
      </w:pPr>
      <w:r w:rsidRPr="00905B9C" w:rsidR="005B3C6E">
        <w:rPr>
          <w:b/>
          <w:bCs/>
          <w:lang w:val="fr-BE"/>
        </w:rPr>
        <w:t>LV-C[C4]-I[4-1-1-3-i-]-T[142] Number of secondary outpatient providers with improved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infrastructure of secondary outpatient service providers to ensure the provision of integrated services, epidemiological safety, and environmental accessibility. The investment consists of investments in infrastructure and equipment for at least 40 secondary outpatient healthcare service providers. These investments shall be made in accordance with the recommendations for integrated care and epidemiological safety requirements, as well as investment strategy for the development of health care infrastructure for 2021-2027.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C4.4-1-1-3-i- Support for strengthening health infrastructure of secondary outpatient providers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secondary outpatient providers with improved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20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reached upon completion of development projects in  secondary outpatient healthcare institutions aimed to improve (1) the epidemiological safety, (2) environmental accessibility or (3) infrastructure for integrated care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list of projects and for each of them: a) a brief description of the action proving alignment with the description of the target and investment in the CID Annex, taking into account in particular (1) epidemiological safety, (2) environmental accessibility and (3) infrastructure for integrated care services; b) evidence of completion of works and that the infrastructure and/or equipment is operational, such as a copy of project promoter’s report on completion of the project and Central Financing and Contracting Agency’s confirmation of completion of the project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