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LV-C[C6]-R[6-4-3-r-] Development and implementation of a professionalisation strategy</w:t>
      </w:r>
    </w:p>
    <w:p w:rsidR="00DC6807" w:rsidRPr="00905B9C" w:rsidP="01BD11D8" w14:paraId="4C22E5B9" w14:textId="470FD0EC">
      <w:pPr>
        <w:jc w:val="right"/>
        <w:rPr>
          <w:b/>
          <w:bCs/>
          <w:highlight w:val="cyan"/>
          <w:lang w:val="fr-BE"/>
        </w:rPr>
      </w:pPr>
      <w:r w:rsidRPr="00905B9C" w:rsidR="005B3C6E">
        <w:rPr>
          <w:b/>
          <w:bCs/>
          <w:lang w:val="fr-BE"/>
        </w:rPr>
        <w:t>LV-C[C6]-R[6-4-3-r-]-M[212] Entry into force of legal acts implementing centralization of procurement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raise the quality and efficiency of public procurement while optimising resources used by developing competencies, skills and capacities of public procurers. The reform consists of a) establishing standardised qualification requirements for suppliers of certain services, which are yet to be specified, b) requiring the use of standardised acceptance-transfer documents in construction procurements, c) developing a unified training programme for public procurers, d) setting requirements for procurement commission competence in procurements reaching a certain threshold of contract prices and e) centralising public procurement in areas deemed appropriate for it.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212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C6.6-4-3-r- Development and implementation of a professionalisation strategy</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legal acts implementing centralization of procurement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relevant legal acts</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Finance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entry into force of a decision by the Cabinet of Ministers on the execution of centralised procurements in certain areas that shall be identified in a preceding feasibility study.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notably the link between the decision and the preceding feasibility study) was satisfactorily fulfilled, with appropriate links to the underlying evidence. This document shall include as an annex the following documentary evidence: a) a copy of and a link to publication in the Official Journal of the decision by the Cabinet of Ministers on centralising certain parts of public procurement, including a reference to the provision indicating the entry into force; b) a copy of the feasibility study decision was based.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