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LV-C[C4]-R[4-3-1-r-] Sustainability of health care, strengthening governance, efficient use of health resources, increase of the total public budget in the health sector</w:t>
      </w:r>
    </w:p>
    <w:p w:rsidR="00DC6807" w:rsidRPr="00905B9C" w:rsidP="01BD11D8" w14:paraId="4C22E5B9" w14:textId="470FD0EC">
      <w:pPr>
        <w:jc w:val="right"/>
        <w:rPr>
          <w:b/>
          <w:bCs/>
          <w:highlight w:val="cyan"/>
          <w:lang w:val="fr-BE"/>
        </w:rPr>
      </w:pPr>
      <w:r w:rsidRPr="00905B9C" w:rsidR="005B3C6E">
        <w:rPr>
          <w:b/>
          <w:bCs/>
          <w:lang w:val="fr-BE"/>
        </w:rPr>
        <w:t>LV-C[C4]-R[4-3-1-r-]-T[150] Mainstreaming of new healthcare service delivery models as part of publicly funded healthcare services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Q3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objectives of the measure are to improve the efficiency of the provision of state-funded health services by ensuring the availability of services, and establishing a systemic change mechanism for state-paid services. The reform consists of the establishment of a service laboratory system for testing and evaluating different service models. The measure shall cover the examination of the current situation, identification and assessment of the challenges, and development of the solutions such as the new service models. The new service models shall be piloted and compared with the existing service. The short and long-term benefits and efficiency gains of the models shall be assessed. Based on the results, 10 new service models are expected to be piloted and evaluated for mainstreaming and implemented as part of the state paid service basket. The reform shall be implemented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150</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C4.4-3-1-r- Sustainability of health care, strengthening governance, efficient use of health resources, increase of the total public budget in the health sector</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Mainstreaming of new healthcare service delivery models as part of publicly funded healthcare services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10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Q3</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Health</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 xml:space="preserve">Ten new healthcare service delivery models developed and mainstreamed as part of publicly funded healthcare services. </w:t>
              <w:br/>
              <w:t xml:space="preserve">For each model a working group, consisting of the representatives of the Ministry of Health, National Health Service and other subordinate bodies as well as other stakeholders has performed: </w:t>
              <w:br/>
              <w:t>-          assessment of the situation;</w:t>
              <w:br/>
              <w:t>-          development of the model;</w:t>
              <w:br/>
              <w:t xml:space="preserve">-          piloting of the model; </w:t>
              <w:br/>
              <w:t>-          assessment of short- and long-term benefits;</w:t>
              <w:br/>
              <w:t>-          and protocols for implementation.</w:t>
              <w:br/>
              <w:t>Based on the results of the pilot projects, a proposal for the necessary additional national budget for the implementation of the relevant measures shall be prepared. The government budget request shall be considered together with all other proposals for the annual and medium-term budget in the preparation process.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target (including all the constitutive elements) was satisfactorily fulfilled, with appropriate links to the underlying evidence. This document shall include as an annex a list of models and for each of them: a) copy of internal regulatory acts approving each model and of the protocols for the implementation of each model. b) a document for each model confirming that it has been has been piloted; c) copy of the assessments of the models pertaining to the current situation as well as to the short- and long-term benefits and efficiency gains; d) for each model copy of the act establishing the working group as well as a description of its composition and mandate; e) copies and links of legal proposals to introduce the model as state-funded service, including proposals for the necessary additional national budget for the implementation where necessary. The documentation shall include an explanation of how the proposals are based on the results of the pilot projects.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