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LV-C[C2]-I[2-4-1-2-i-] Broadband or very high capacity network “last mile” infrastructure development</w:t>
      </w:r>
    </w:p>
    <w:p w:rsidR="00DC6807" w:rsidRPr="00905B9C" w:rsidP="01BD11D8" w14:paraId="4C22E5B9" w14:textId="470FD0EC">
      <w:pPr>
        <w:jc w:val="right"/>
        <w:rPr>
          <w:b/>
          <w:bCs/>
          <w:highlight w:val="cyan"/>
          <w:lang w:val="fr-BE"/>
        </w:rPr>
      </w:pPr>
      <w:r w:rsidRPr="00905B9C" w:rsidR="005B3C6E">
        <w:rPr>
          <w:b/>
          <w:bCs/>
          <w:lang w:val="fr-BE"/>
        </w:rPr>
        <w:t>LV-C[C2]-I[2-4-1-2-i-]-T[83] Number of households, businesses, schools, hospitals and other public buildings which have access to the very high capacity broadband network</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create opportunities for regional development and stimulate demand for new digital services. The investment consists of providing 6200 households, businesses and socio-economic drivers with access to very high capacity broadband network.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83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C2.2-4-1-2-i- Broadband or very high capacity network “last mile” infrastructure development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households, businesses, schools, hospitals and other public buildings which have access to the very high capacity broadband network</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6200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indicator is defined as the number of households, businesses a schools, hospitals and other public buildings which have access to a very high capacity broadband network with speeds of at least 100 Mbps.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elements) was satisfactorily fulfilled, with appropriate links to the underlying evidence. This document shall include as an annex the following documentary evidence: a) reports submitted by the project implementer (based on information from electronic communication operators) and accepted by the contracting authority providing the number of beneficiaries as defined in the target description; b) mapping of the investments specifying the location of households, businesses, schools and other public buildings with new broadband access to very high capacity network.</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