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LV-C[C2]-I[2-2-1-3-i-] Support for the introduction of new products and services into business</w:t>
      </w:r>
    </w:p>
    <w:p w:rsidR="00DC6807" w:rsidRPr="00905B9C" w:rsidP="01BD11D8" w14:paraId="4C22E5B9" w14:textId="470FD0EC">
      <w:pPr>
        <w:jc w:val="right"/>
        <w:rPr>
          <w:b/>
          <w:bCs/>
          <w:highlight w:val="cyan"/>
          <w:lang w:val="fr-BE"/>
        </w:rPr>
      </w:pPr>
      <w:r w:rsidRPr="00905B9C" w:rsidR="005B3C6E">
        <w:rPr>
          <w:b/>
          <w:bCs/>
          <w:lang w:val="fr-BE"/>
        </w:rPr>
        <w:t>LV-C[C2]-I[2-2-1-3-i-]-T[49] Private finance committed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promote the creation of new high-tech digital products and services. The investment consists of a grant scheme for the introduction of modern automation, robotisation and labour control tools in the manufacturing and service development processes, as well as to support the introduction of personalized e-commerce solutions. Supported activities for new digital products and services include feasibility studies; industrial research; experimental development, including prototyping; and support to projects under Digital Europe programme.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use9 ; (ii) activities under the EU Emission Trading System (ETS) achieving projected greenhouse gas emissions that are not lower than the relevant benchmarks10; (iii) activities related to waste landfills, incinerators11 and mechanical biological treatment plants12;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C2.2-2-1-3-i- Support for the introduction of new products and services into business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Private finance committed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4860000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Central Finance and Contracting Agency and Innovation Cluster</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Amount of private financing committed to supported projects for introduction of new products and services.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the list of contracts concluded between the aid provider and the beneficiary, specifying private financing in the project. b) list and description of completed projects.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The contracts between CFCA and the recipients of support shall specify the amount of private financing. As private financing amounts can change over the course of a project, this target shall be understood as referring to completed projects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