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LV-C[C1]-I[1-1-1-3-i-] Complete bike riding infrastructure</w:t>
      </w:r>
    </w:p>
    <w:p w:rsidR="00DC6807" w:rsidRPr="00905B9C" w:rsidP="01BD11D8" w14:paraId="4C22E5B9" w14:textId="470FD0EC">
      <w:pPr>
        <w:jc w:val="right"/>
        <w:rPr>
          <w:b/>
          <w:bCs/>
          <w:highlight w:val="cyan"/>
          <w:lang w:val="fr-BE"/>
        </w:rPr>
      </w:pPr>
      <w:r w:rsidRPr="00905B9C" w:rsidR="005B3C6E">
        <w:rPr>
          <w:b/>
          <w:bCs/>
          <w:lang w:val="fr-BE"/>
        </w:rPr>
        <w:t>LV-C[C1]-I[1-1-1-3-i-]-T[6] Length of newly built or renovated cycle infrastructure in the city of Riga and Pieriga (part of Riga Metropolitan Area)</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the measure is to contribute to reduce Latvia’s greenhouse gas (GHG) emissions with a focus on transport which represents the biggest source of GHG emissions (28,5 % share of total GHG emissions (excluding land use, land-use change and forestry) in 2018 and 36,7 % of non-ETS GHG emissions). This measure specifically focuses on the Riga metropolitan area which covers about 65% of the Latvian population. A specific objective is to consolidate and rationalise the currently fragmented transport system to incentivise the use of public transportation. The measure consists in a general overhaul of the Riga Metropolitan Transport System. A multimodal public transport network with a single and coherent timetable, a single price and discount policy and a single ticket system shall be created. The measure shall also include a substantial investment programme in clean mobility and infrastructure with a focus on railway solutions (electrification of 100 km of railway), zero-emission public transport (acquisition of 17 electric buses and seven electric bus charging stations) and construction of cycle lanes. This shall be complemented by the construction of a public transport hub (bus/electric bus, tram and trolleybus), eight mobility points, a 5.3 km bus rapid transit lane and the extension of the tram line by 2.2 km and trolleybus line by 0.3 km, to support multimodal transport use. The measure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C1.1-1-1-3-i- Complete bike riding infrastructure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Length of newly built or renovated cycle infrastructure in the city of Riga and Pieriga (part of Riga Metropolitan Area)</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Km</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52</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Transport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Entry into operation of newly built or renovated cycle infrastructure.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 a list of all projects, their length in km and nature (renovation or new construction); b) certificate of entry into operation of newly built or renovated cycle infrastructure.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