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LV-C[C5]-I[5-2-1-1-i-] Research, development and consolidation grants</w:t>
      </w:r>
    </w:p>
    <w:p w:rsidR="00DC6807" w:rsidRPr="00905B9C" w:rsidP="01BD11D8" w14:paraId="4C22E5B9" w14:textId="470FD0EC">
      <w:pPr>
        <w:jc w:val="right"/>
        <w:rPr>
          <w:b/>
          <w:bCs/>
          <w:highlight w:val="cyan"/>
          <w:lang w:val="fr-BE"/>
        </w:rPr>
      </w:pPr>
      <w:r w:rsidRPr="00905B9C" w:rsidR="005B3C6E">
        <w:rPr>
          <w:b/>
          <w:bCs/>
          <w:lang w:val="fr-BE"/>
        </w:rPr>
        <w:t>LV-C[C5]-I[5-2-1-1-i-]-T[163] Consolidation grants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Q3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investment are to reduce the number of higher education institutions and scientific institutes through consolidation. The plan shall finance grants that shall incentivise higher education mergers, which shall help concentrate the scarce resources both in higher education and academic research. The approved consolidation plans of the higher education institutions shall include an investment plan. This may cover grants for structural change; exit grants for termination of employment with academic staff over 65 years of age; digitalisation, technological development, improvement of research and education infrastructure (excluding construction) and creation of new programmes of excellence. The investment may cover grant agreements concluded by the universities or research institutes for doctoral grants, post-doctoral grants or scientific (professor) grants as well as in-house research grants. The investment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163</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C5.5-2-1-1-i- Research, development and consolidation grants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Consolidation grants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 of consolidation grant agreements concluded</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4</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Q3</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Education and Science</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Four consolidation plans have been put in place, ensuring that the consolidation targets are met in line with the conditions for implementing the grants for consolidation and management changes.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target (including all the constitutive elements) was satisfactorily fulfilled, with appropriate links to the underlying evidence. This shall include as an annex: copies of 4 consolidation grant agreements with the beneficiaries.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