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LV-C[C7]-I[7-3-i-] Upgrading, digitalising and securing the electricity transmission and distribution networks</w:t>
      </w:r>
    </w:p>
    <w:p w:rsidR="00DC6807" w:rsidRPr="00905B9C" w:rsidP="01BD11D8" w14:paraId="4C22E5B9" w14:textId="470FD0EC">
      <w:pPr>
        <w:jc w:val="right"/>
        <w:rPr>
          <w:b/>
          <w:bCs/>
          <w:highlight w:val="cyan"/>
          <w:lang w:val="fr-BE"/>
        </w:rPr>
      </w:pPr>
      <w:r w:rsidRPr="00905B9C" w:rsidR="005B3C6E">
        <w:rPr>
          <w:b/>
          <w:bCs/>
          <w:lang w:val="fr-BE"/>
        </w:rPr>
        <w:t>LV-C[C7]-I[7-3-i-]-M[227] Smart distribution network management solution</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investment is to contribute to the clean energy transition and to increase electricity security by increasing the electricity grid capacity and flexibility to accommodate a greater integration of variable renewable energy, by refurbishing transmission networks, and by digitalising distribution networks. The investment shall cover the following elements. 1. To increase the national electricity grid capacity and flexibility to accommodate a greater integration of variable renewable energy, the investment shall deliver 70 MW of new electricity grid capacity, the construction of a digital substation in Kuldīga and the refurbishment of a substation in Carnikava. 2. To modernise energy transmission lines and increase the security and stability of electricity supply, the investment shall result in the replacement of at least 150 km of existing medium-voltage overhead power lines with cable lines. 3. To digitalise the electricity distribution network for a more efficient and flexible management of energy flows, the investment shall result in: - the implementation of an advanced smart distribution management solution; - the purchase and installation of remotely controlled medium voltage circuit breakers on cable lines in transformers substations and on lines at different switching points. 4. Two studies shall be completed that are expected to contribute to Latvia’s development towards becoming a green energy exporting country. The objective of the first study is to determine the maximum amount of renewable energy that could be connected to the electricity transmission network and assess the impact of higher renewable energy sources volumes on the network. The second study has the objective of estimating electricity consumption growth and electrification potential over a 10-year timeframe. Furthermore, an Environmental Impact Assessment for an electricity transmission line project between Ventspils, Brocēni and Telšiai shall be carried out. The implementation of the measure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227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C7.7-3-i- Upgrading, digitalising and securing the electricity transmission and distribution networks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Smart distribution network management solution</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A smart distribution network management solution has been introduced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 smart grid management solution has been introduced. This shall consist of:</w:t>
              <w:br/>
              <w:br/>
              <w:t xml:space="preserve">- the implementation of an advanced smart distribution management system (ADMS) solution;  </w:t>
              <w:br/>
              <w:br/>
              <w:t>- the purchase and installation of at least 285 remotely controlled medium voltage circuit breakers.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as listed in the description of the milestone and of the corresponding measure in the CID annex) was satisfactorily fulfilled, with appropriate links to the underlying evidence. The document shall include as an annex: - the certificate(s) of completion signed by the contractor(s) and the contracting authority(ies) demonstrating that an advanced smart distribution management system (ADMS) solution has entered into operation; - copy of signed contract for the purchase of remotely controlled medium voltage circuit breakers; - certificate(s) of works completion demonstrating the installation of at least 285 purchased remotely controlled medium voltage circuit breakers.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