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A58" w14:textId="5A5B8678" w:rsidR="00C206C5" w:rsidRPr="003A09F1" w:rsidRDefault="00C206C5" w:rsidP="00C206C5">
      <w:pPr>
        <w:jc w:val="center"/>
        <w:rPr>
          <w:rFonts w:cs="Times New Roman"/>
          <w:b/>
          <w:szCs w:val="24"/>
        </w:rPr>
      </w:pPr>
      <w:r w:rsidRPr="003A09F1">
        <w:rPr>
          <w:rFonts w:cs="Times New Roman"/>
          <w:b/>
          <w:szCs w:val="24"/>
        </w:rPr>
        <w:t xml:space="preserve">Izziņa par saņemtajiem komentāriem par Eiropas Savienības </w:t>
      </w:r>
      <w:r w:rsidR="00D50D2D">
        <w:rPr>
          <w:rFonts w:cs="Times New Roman"/>
          <w:b/>
          <w:szCs w:val="24"/>
        </w:rPr>
        <w:t>struktūr</w:t>
      </w:r>
      <w:r w:rsidRPr="003A09F1">
        <w:rPr>
          <w:rFonts w:cs="Times New Roman"/>
          <w:b/>
          <w:szCs w:val="24"/>
        </w:rPr>
        <w:t>fondu</w:t>
      </w:r>
      <w:r w:rsidR="00D50D2D">
        <w:rPr>
          <w:rFonts w:cs="Times New Roman"/>
          <w:b/>
          <w:szCs w:val="24"/>
        </w:rPr>
        <w:t xml:space="preserve"> un Kohēzijas fonda</w:t>
      </w:r>
      <w:r w:rsidRPr="003A09F1">
        <w:rPr>
          <w:rFonts w:cs="Times New Roman"/>
          <w:b/>
          <w:szCs w:val="24"/>
        </w:rPr>
        <w:t xml:space="preserve"> </w:t>
      </w:r>
      <w:r w:rsidR="00D50D2D">
        <w:rPr>
          <w:rFonts w:cs="Times New Roman"/>
          <w:b/>
          <w:szCs w:val="24"/>
        </w:rPr>
        <w:t>2014.-2020</w:t>
      </w:r>
      <w:r w:rsidRPr="003A09F1">
        <w:rPr>
          <w:rFonts w:cs="Times New Roman"/>
          <w:b/>
          <w:szCs w:val="24"/>
        </w:rPr>
        <w:t>.gada plānošanas perioda</w:t>
      </w:r>
    </w:p>
    <w:p w14:paraId="0FE62333" w14:textId="10B38AA2" w:rsidR="00C206C5" w:rsidRPr="003A09F1" w:rsidRDefault="00C206C5" w:rsidP="00C206C5">
      <w:pPr>
        <w:jc w:val="center"/>
        <w:rPr>
          <w:rFonts w:cs="Times New Roman"/>
          <w:b/>
          <w:szCs w:val="24"/>
        </w:rPr>
      </w:pPr>
      <w:r w:rsidRPr="003A09F1">
        <w:rPr>
          <w:rFonts w:cs="Times New Roman"/>
          <w:b/>
          <w:szCs w:val="24"/>
        </w:rPr>
        <w:t xml:space="preserve">2023.gada </w:t>
      </w:r>
      <w:r w:rsidR="00D50D2D">
        <w:rPr>
          <w:rFonts w:cs="Times New Roman"/>
          <w:b/>
          <w:szCs w:val="24"/>
        </w:rPr>
        <w:t>6.decembra</w:t>
      </w:r>
      <w:r w:rsidRPr="003A09F1">
        <w:rPr>
          <w:rFonts w:cs="Times New Roman"/>
          <w:b/>
          <w:szCs w:val="24"/>
        </w:rPr>
        <w:t xml:space="preserve"> Uzraudzības komitejas (UK) sēdes protokolu</w:t>
      </w:r>
    </w:p>
    <w:p w14:paraId="0AE1117B" w14:textId="77777777" w:rsidR="00C206C5" w:rsidRPr="003A09F1" w:rsidRDefault="00C206C5" w:rsidP="00C206C5">
      <w:pPr>
        <w:rPr>
          <w:rFonts w:cs="Times New Roman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4678"/>
        <w:gridCol w:w="2552"/>
        <w:gridCol w:w="3827"/>
      </w:tblGrid>
      <w:tr w:rsidR="00C206C5" w:rsidRPr="00791973" w14:paraId="020F1EBE" w14:textId="77777777" w:rsidTr="00D50D2D">
        <w:trPr>
          <w:trHeight w:val="132"/>
        </w:trPr>
        <w:tc>
          <w:tcPr>
            <w:tcW w:w="570" w:type="dxa"/>
          </w:tcPr>
          <w:p w14:paraId="776846C4" w14:textId="7E95633B" w:rsidR="00C206C5" w:rsidRPr="00791973" w:rsidRDefault="007E59EF" w:rsidP="009F7A4A">
            <w:pPr>
              <w:ind w:left="-13" w:firstLine="13"/>
              <w:jc w:val="center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3394" w:type="dxa"/>
          </w:tcPr>
          <w:p w14:paraId="766FB80C" w14:textId="77777777" w:rsidR="00C206C5" w:rsidRPr="00791973" w:rsidRDefault="00C206C5" w:rsidP="009F7A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Protokola esošā redakcija, punkts</w:t>
            </w:r>
          </w:p>
        </w:tc>
        <w:tc>
          <w:tcPr>
            <w:tcW w:w="4678" w:type="dxa"/>
          </w:tcPr>
          <w:p w14:paraId="36F4A576" w14:textId="3A98E1DA" w:rsidR="00C206C5" w:rsidRPr="00791973" w:rsidRDefault="00C206C5" w:rsidP="009F7A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UK </w:t>
            </w:r>
            <w:r w:rsidR="00332F6A" w:rsidRPr="00791973">
              <w:rPr>
                <w:rFonts w:cs="Times New Roman"/>
                <w:b/>
                <w:bCs/>
                <w:color w:val="000000" w:themeColor="text1"/>
                <w:sz w:val="22"/>
              </w:rPr>
              <w:t>dalībnieka</w:t>
            </w:r>
            <w:r w:rsidRPr="00791973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komentārs</w:t>
            </w:r>
          </w:p>
        </w:tc>
        <w:tc>
          <w:tcPr>
            <w:tcW w:w="2552" w:type="dxa"/>
          </w:tcPr>
          <w:p w14:paraId="627C7881" w14:textId="77777777" w:rsidR="00C206C5" w:rsidRPr="00791973" w:rsidRDefault="00C206C5" w:rsidP="00616CF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VI viedoklis</w:t>
            </w:r>
          </w:p>
        </w:tc>
        <w:tc>
          <w:tcPr>
            <w:tcW w:w="3827" w:type="dxa"/>
          </w:tcPr>
          <w:p w14:paraId="5C27E87E" w14:textId="77777777" w:rsidR="00C206C5" w:rsidRPr="00791973" w:rsidRDefault="00C206C5" w:rsidP="009F7A4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Gala redakcija</w:t>
            </w:r>
          </w:p>
        </w:tc>
      </w:tr>
      <w:tr w:rsidR="00C206C5" w:rsidRPr="00791973" w14:paraId="0EA6D8BE" w14:textId="77777777" w:rsidTr="00D50D2D">
        <w:trPr>
          <w:trHeight w:val="45"/>
        </w:trPr>
        <w:tc>
          <w:tcPr>
            <w:tcW w:w="570" w:type="dxa"/>
          </w:tcPr>
          <w:p w14:paraId="191B00E5" w14:textId="77777777" w:rsidR="00C206C5" w:rsidRPr="00791973" w:rsidRDefault="00C206C5" w:rsidP="009F7A4A">
            <w:pPr>
              <w:ind w:left="-13" w:firstLine="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394" w:type="dxa"/>
          </w:tcPr>
          <w:p w14:paraId="3BFE0891" w14:textId="77777777" w:rsidR="00C206C5" w:rsidRPr="00791973" w:rsidRDefault="00C206C5" w:rsidP="009F7A4A">
            <w:pPr>
              <w:jc w:val="center"/>
              <w:rPr>
                <w:rFonts w:cs="Times New Roman"/>
                <w:b/>
                <w:sz w:val="22"/>
              </w:rPr>
            </w:pPr>
            <w:r w:rsidRPr="00791973">
              <w:rPr>
                <w:rFonts w:cs="Times New Roman"/>
                <w:sz w:val="22"/>
              </w:rPr>
              <w:t>1</w:t>
            </w:r>
          </w:p>
        </w:tc>
        <w:tc>
          <w:tcPr>
            <w:tcW w:w="4678" w:type="dxa"/>
          </w:tcPr>
          <w:p w14:paraId="1B9B7613" w14:textId="77777777" w:rsidR="00C206C5" w:rsidRPr="00791973" w:rsidRDefault="00C206C5" w:rsidP="009F7A4A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9197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552" w:type="dxa"/>
          </w:tcPr>
          <w:p w14:paraId="360D70BF" w14:textId="77777777" w:rsidR="00C206C5" w:rsidRPr="00791973" w:rsidRDefault="00C206C5" w:rsidP="006A4522">
            <w:pPr>
              <w:jc w:val="center"/>
              <w:rPr>
                <w:rFonts w:cs="Times New Roman"/>
                <w:b/>
                <w:sz w:val="22"/>
              </w:rPr>
            </w:pPr>
            <w:r w:rsidRPr="00791973">
              <w:rPr>
                <w:rFonts w:cs="Times New Roman"/>
                <w:sz w:val="22"/>
              </w:rPr>
              <w:t>3</w:t>
            </w:r>
          </w:p>
        </w:tc>
        <w:tc>
          <w:tcPr>
            <w:tcW w:w="3827" w:type="dxa"/>
          </w:tcPr>
          <w:p w14:paraId="3CAB31EB" w14:textId="77777777" w:rsidR="00C206C5" w:rsidRPr="00791973" w:rsidRDefault="00C206C5" w:rsidP="009F7A4A">
            <w:pPr>
              <w:jc w:val="center"/>
              <w:rPr>
                <w:rFonts w:cs="Times New Roman"/>
                <w:b/>
                <w:sz w:val="22"/>
              </w:rPr>
            </w:pPr>
            <w:r w:rsidRPr="00791973">
              <w:rPr>
                <w:rFonts w:cs="Times New Roman"/>
                <w:sz w:val="22"/>
              </w:rPr>
              <w:t>5</w:t>
            </w:r>
          </w:p>
        </w:tc>
      </w:tr>
      <w:tr w:rsidR="00FB0471" w:rsidRPr="00791973" w14:paraId="3313D93F" w14:textId="77777777" w:rsidTr="002B1A8E">
        <w:trPr>
          <w:trHeight w:val="40"/>
        </w:trPr>
        <w:tc>
          <w:tcPr>
            <w:tcW w:w="15021" w:type="dxa"/>
            <w:gridSpan w:val="5"/>
            <w:shd w:val="clear" w:color="auto" w:fill="D9E2F3" w:themeFill="accent1" w:themeFillTint="33"/>
          </w:tcPr>
          <w:p w14:paraId="4F636483" w14:textId="07690397" w:rsidR="00FB0471" w:rsidRPr="00791973" w:rsidRDefault="00D00F02" w:rsidP="009F7A4A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2. IKT platformu un procesu pilnveidē sasniegtais investīciju ieviešanas progress</w:t>
            </w:r>
          </w:p>
        </w:tc>
      </w:tr>
      <w:tr w:rsidR="00FC464B" w:rsidRPr="00791973" w14:paraId="20ACB680" w14:textId="77777777" w:rsidTr="002B1A8E">
        <w:trPr>
          <w:trHeight w:val="40"/>
        </w:trPr>
        <w:tc>
          <w:tcPr>
            <w:tcW w:w="570" w:type="dxa"/>
          </w:tcPr>
          <w:p w14:paraId="560C01B0" w14:textId="77777777" w:rsidR="00FC464B" w:rsidRPr="00791973" w:rsidRDefault="00FC464B" w:rsidP="009F7A4A">
            <w:pPr>
              <w:pStyle w:val="ListParagraph"/>
              <w:numPr>
                <w:ilvl w:val="0"/>
                <w:numId w:val="1"/>
              </w:numPr>
              <w:ind w:left="-13" w:firstLine="13"/>
              <w:contextualSpacing w:val="0"/>
              <w:rPr>
                <w:rFonts w:cs="Times New Roman"/>
                <w:sz w:val="22"/>
              </w:rPr>
            </w:pPr>
          </w:p>
        </w:tc>
        <w:tc>
          <w:tcPr>
            <w:tcW w:w="3394" w:type="dxa"/>
          </w:tcPr>
          <w:p w14:paraId="25A9A9F6" w14:textId="4CEA37F0" w:rsidR="00FC464B" w:rsidRPr="00791973" w:rsidRDefault="00D00F02" w:rsidP="009F7A4A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  <w:proofErr w:type="spellStart"/>
            <w:r w:rsidRPr="00791973">
              <w:rPr>
                <w:rFonts w:cs="Times New Roman"/>
                <w:b/>
                <w:color w:val="000000"/>
                <w:sz w:val="22"/>
              </w:rPr>
              <w:t>G.Ozols</w:t>
            </w:r>
            <w:proofErr w:type="spellEnd"/>
            <w:r w:rsidRPr="00791973">
              <w:rPr>
                <w:rFonts w:cs="Times New Roman"/>
                <w:b/>
                <w:color w:val="000000"/>
                <w:sz w:val="22"/>
              </w:rPr>
              <w:t xml:space="preserve"> (VARAM)</w:t>
            </w:r>
            <w:r w:rsidRPr="00791973">
              <w:rPr>
                <w:rFonts w:cs="Times New Roman"/>
                <w:bCs/>
                <w:color w:val="000000"/>
                <w:sz w:val="22"/>
              </w:rPr>
              <w:t xml:space="preserve"> prezentē  IKT platformu un procesu pilnveides progresu, projektu sasniegumu piemēriem,  2.2.1.1.pasākuma ietvaros, kā arī par izaicinājumiem, noslēdzot 2014.-2020.gada plānošanas periodu (skatīt materiālus e-portfelī ). Ieskicē ES fondu 2021.-2027.gada plānošanas perioda 1.3.1.1.pasākuma plānoto laika grafiku.</w:t>
            </w:r>
          </w:p>
        </w:tc>
        <w:tc>
          <w:tcPr>
            <w:tcW w:w="4678" w:type="dxa"/>
          </w:tcPr>
          <w:p w14:paraId="67A29CB8" w14:textId="77777777" w:rsidR="00FC464B" w:rsidRPr="00791973" w:rsidRDefault="00D00F02" w:rsidP="009F7A4A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791973">
              <w:rPr>
                <w:rFonts w:cs="Times New Roman"/>
                <w:b/>
                <w:bCs/>
                <w:color w:val="000000"/>
                <w:sz w:val="22"/>
              </w:rPr>
              <w:t>Vides aizsardzības un reģionālās attīstības ministrija</w:t>
            </w:r>
          </w:p>
          <w:p w14:paraId="4CE9D2E1" w14:textId="77777777" w:rsidR="00D00F02" w:rsidRPr="00791973" w:rsidRDefault="00D00F02" w:rsidP="009F7A4A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</w:p>
          <w:p w14:paraId="5E1D8C36" w14:textId="1943C0D8" w:rsidR="00D00F02" w:rsidRPr="00791973" w:rsidRDefault="00D00F02" w:rsidP="00D00F02">
            <w:pPr>
              <w:jc w:val="both"/>
              <w:rPr>
                <w:rFonts w:cs="Times New Roman"/>
                <w:sz w:val="22"/>
              </w:rPr>
            </w:pPr>
            <w:r w:rsidRPr="00791973">
              <w:rPr>
                <w:rFonts w:cs="Times New Roman"/>
                <w:sz w:val="22"/>
              </w:rPr>
              <w:t xml:space="preserve">Aicina precizēt </w:t>
            </w:r>
            <w:r w:rsidRPr="00791973">
              <w:rPr>
                <w:rFonts w:cs="Times New Roman"/>
                <w:sz w:val="22"/>
              </w:rPr>
              <w:t>2</w:t>
            </w:r>
            <w:r w:rsidRPr="00791973">
              <w:rPr>
                <w:rFonts w:cs="Times New Roman"/>
                <w:sz w:val="22"/>
              </w:rPr>
              <w:t xml:space="preserve">.punkta </w:t>
            </w:r>
            <w:r w:rsidRPr="00791973">
              <w:rPr>
                <w:rFonts w:cs="Times New Roman"/>
                <w:sz w:val="22"/>
              </w:rPr>
              <w:t>1</w:t>
            </w:r>
            <w:r w:rsidRPr="00791973">
              <w:rPr>
                <w:rFonts w:cs="Times New Roman"/>
                <w:sz w:val="22"/>
              </w:rPr>
              <w:t>.rindkopu šādā redakcijā:</w:t>
            </w:r>
          </w:p>
          <w:p w14:paraId="72F5E34A" w14:textId="77777777" w:rsidR="00D00F02" w:rsidRPr="00791973" w:rsidRDefault="00D00F02" w:rsidP="009F7A4A">
            <w:pPr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</w:p>
          <w:p w14:paraId="78EA00DB" w14:textId="0BA1BCE5" w:rsidR="00D00F02" w:rsidRPr="00791973" w:rsidRDefault="00D00F02" w:rsidP="009F7A4A">
            <w:pPr>
              <w:jc w:val="both"/>
              <w:rPr>
                <w:rFonts w:cs="Times New Roman"/>
                <w:sz w:val="22"/>
              </w:rPr>
            </w:pPr>
            <w:r w:rsidRPr="00791973">
              <w:rPr>
                <w:rFonts w:cs="Times New Roman"/>
                <w:b/>
                <w:bCs/>
                <w:color w:val="000000"/>
                <w:sz w:val="22"/>
              </w:rPr>
              <w:t>“</w:t>
            </w:r>
            <w:proofErr w:type="spellStart"/>
            <w:r w:rsidRPr="00791973">
              <w:rPr>
                <w:rFonts w:cs="Times New Roman"/>
                <w:b/>
                <w:sz w:val="22"/>
              </w:rPr>
              <w:t>G.Ozols</w:t>
            </w:r>
            <w:proofErr w:type="spellEnd"/>
            <w:r w:rsidRPr="00791973">
              <w:rPr>
                <w:rFonts w:cs="Times New Roman"/>
                <w:b/>
                <w:sz w:val="22"/>
              </w:rPr>
              <w:t xml:space="preserve"> (VARAM)</w:t>
            </w:r>
            <w:r w:rsidRPr="00791973">
              <w:rPr>
                <w:rFonts w:cs="Times New Roman"/>
                <w:sz w:val="22"/>
              </w:rPr>
              <w:t xml:space="preserve"> prezentē  informāciju par IKT platformu un procesu pilnveides progresu, projektu sasniegto rezultātu  piemēriem  2.2.1.1.pasākuma ietvaros, kā arī par izaicinājumiem, noslēdzot ES fondu 2014.-2020.gada plānošanas </w:t>
            </w:r>
            <w:r w:rsidRPr="00791973">
              <w:rPr>
                <w:rFonts w:cs="Times New Roman"/>
                <w:color w:val="000000" w:themeColor="text1"/>
                <w:sz w:val="22"/>
              </w:rPr>
              <w:t>periodu (skatīt materiālus e-portfelī</w:t>
            </w:r>
            <w:r w:rsidRPr="00791973">
              <w:rPr>
                <w:rStyle w:val="FootnoteReference"/>
                <w:rFonts w:cs="Times New Roman"/>
                <w:color w:val="000000" w:themeColor="text1"/>
                <w:sz w:val="22"/>
              </w:rPr>
              <w:footnoteReference w:id="2"/>
            </w:r>
            <w:r w:rsidRPr="00791973">
              <w:rPr>
                <w:rFonts w:cs="Times New Roman"/>
                <w:color w:val="000000" w:themeColor="text1"/>
                <w:sz w:val="22"/>
              </w:rPr>
              <w:t xml:space="preserve">). Ieskicē ES fondu 2021.-2027.gada plānošanas perioda 1.3.1.1.pasākuma plānoto </w:t>
            </w:r>
            <w:r w:rsidRPr="00791973">
              <w:rPr>
                <w:rFonts w:cs="Times New Roman"/>
                <w:sz w:val="22"/>
              </w:rPr>
              <w:t>laika grafiku.</w:t>
            </w:r>
            <w:r w:rsidRPr="00791973">
              <w:rPr>
                <w:rFonts w:cs="Times New Roman"/>
                <w:b/>
                <w:bCs/>
                <w:color w:val="000000"/>
                <w:sz w:val="22"/>
              </w:rPr>
              <w:t>”</w:t>
            </w:r>
          </w:p>
        </w:tc>
        <w:tc>
          <w:tcPr>
            <w:tcW w:w="2552" w:type="dxa"/>
          </w:tcPr>
          <w:p w14:paraId="442FBE21" w14:textId="1DCC3BCC" w:rsidR="00FC464B" w:rsidRPr="00791973" w:rsidRDefault="00D00F02" w:rsidP="00D50D2D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Ņemts vērā</w:t>
            </w:r>
          </w:p>
        </w:tc>
        <w:tc>
          <w:tcPr>
            <w:tcW w:w="3827" w:type="dxa"/>
          </w:tcPr>
          <w:p w14:paraId="7F644DDA" w14:textId="77777777" w:rsidR="00D00F02" w:rsidRPr="00791973" w:rsidRDefault="00D00F02" w:rsidP="00D00F02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791973">
              <w:rPr>
                <w:rFonts w:cs="Times New Roman"/>
                <w:b/>
                <w:bCs/>
                <w:sz w:val="22"/>
              </w:rPr>
              <w:t>G.Ozols</w:t>
            </w:r>
            <w:proofErr w:type="spellEnd"/>
            <w:r w:rsidRPr="00791973">
              <w:rPr>
                <w:rFonts w:cs="Times New Roman"/>
                <w:b/>
                <w:bCs/>
                <w:sz w:val="22"/>
              </w:rPr>
              <w:t xml:space="preserve"> (VARAM)</w:t>
            </w:r>
            <w:r w:rsidRPr="00791973">
              <w:rPr>
                <w:rFonts w:cs="Times New Roman"/>
                <w:sz w:val="22"/>
              </w:rPr>
              <w:t xml:space="preserve"> prezentē informē par IKT platformu un procesu pilnveides progresu, projektu sasniegto rezultātu piemēriem  2.2.1.1.pasākuma ietvaros, kā arī par izaicinājumiem, noslēdzot ES fondu 2014.-2020.gada plānošanas </w:t>
            </w:r>
            <w:r w:rsidRPr="00791973">
              <w:rPr>
                <w:rFonts w:cs="Times New Roman"/>
                <w:color w:val="000000" w:themeColor="text1"/>
                <w:sz w:val="22"/>
              </w:rPr>
              <w:t>periodu (skatīt materiālus e-portfelī</w:t>
            </w:r>
            <w:r w:rsidRPr="00791973">
              <w:rPr>
                <w:rStyle w:val="FootnoteReference"/>
                <w:rFonts w:cs="Times New Roman"/>
                <w:color w:val="000000" w:themeColor="text1"/>
                <w:sz w:val="22"/>
              </w:rPr>
              <w:footnoteReference w:id="3"/>
            </w:r>
            <w:r w:rsidRPr="00791973">
              <w:rPr>
                <w:rFonts w:cs="Times New Roman"/>
                <w:color w:val="000000" w:themeColor="text1"/>
                <w:sz w:val="22"/>
              </w:rPr>
              <w:t xml:space="preserve">). Ieskicē ES fondu 2021.-2027.gada plānošanas perioda 1.3.1.1.pasākuma plānoto </w:t>
            </w:r>
            <w:r w:rsidRPr="00791973">
              <w:rPr>
                <w:rFonts w:cs="Times New Roman"/>
                <w:sz w:val="22"/>
              </w:rPr>
              <w:t>laika grafiku.</w:t>
            </w:r>
          </w:p>
          <w:p w14:paraId="769DD978" w14:textId="0442859C" w:rsidR="00FC464B" w:rsidRPr="00791973" w:rsidRDefault="00FC464B" w:rsidP="009F7A4A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BE610C" w:rsidRPr="00791973" w14:paraId="74338820" w14:textId="77777777" w:rsidTr="002B1A8E">
        <w:trPr>
          <w:trHeight w:val="40"/>
        </w:trPr>
        <w:tc>
          <w:tcPr>
            <w:tcW w:w="15021" w:type="dxa"/>
            <w:gridSpan w:val="5"/>
            <w:shd w:val="clear" w:color="auto" w:fill="D9E2F3" w:themeFill="accent1" w:themeFillTint="33"/>
          </w:tcPr>
          <w:p w14:paraId="06C5FACF" w14:textId="4F481B87" w:rsidR="00BE610C" w:rsidRPr="00791973" w:rsidRDefault="00D00F02" w:rsidP="009F7A4A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t>3. Sasniegtais un turpmākie soļi investīciju ieviešanā pasākumā  “Dažādību veicināšana (diskriminācijas novēršana)”</w:t>
            </w:r>
          </w:p>
        </w:tc>
      </w:tr>
      <w:tr w:rsidR="00C17491" w:rsidRPr="00791973" w14:paraId="2C7E4D30" w14:textId="77777777" w:rsidTr="002B1A8E">
        <w:trPr>
          <w:trHeight w:val="40"/>
        </w:trPr>
        <w:tc>
          <w:tcPr>
            <w:tcW w:w="570" w:type="dxa"/>
          </w:tcPr>
          <w:p w14:paraId="17EDF16B" w14:textId="77777777" w:rsidR="00C17491" w:rsidRPr="00791973" w:rsidRDefault="00C17491" w:rsidP="009F7A4A">
            <w:pPr>
              <w:pStyle w:val="ListParagraph"/>
              <w:numPr>
                <w:ilvl w:val="0"/>
                <w:numId w:val="1"/>
              </w:numPr>
              <w:ind w:left="-13" w:firstLine="13"/>
              <w:contextualSpacing w:val="0"/>
              <w:rPr>
                <w:rFonts w:cs="Times New Roman"/>
                <w:sz w:val="22"/>
              </w:rPr>
            </w:pPr>
          </w:p>
        </w:tc>
        <w:tc>
          <w:tcPr>
            <w:tcW w:w="3394" w:type="dxa"/>
          </w:tcPr>
          <w:p w14:paraId="1E5346BA" w14:textId="2519A7B0" w:rsidR="00C17491" w:rsidRPr="00791973" w:rsidRDefault="00D00F02" w:rsidP="009F7A4A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791973">
              <w:rPr>
                <w:rFonts w:cs="Times New Roman"/>
                <w:sz w:val="22"/>
              </w:rPr>
              <w:t>S.Rozentāle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(LM) skaidro, ka LM 2024.gadā ieplānojusi veikt ES fondu finansētu </w:t>
            </w:r>
            <w:proofErr w:type="spellStart"/>
            <w:r w:rsidRPr="00791973">
              <w:rPr>
                <w:rFonts w:cs="Times New Roman"/>
                <w:sz w:val="22"/>
              </w:rPr>
              <w:t>izvērtējumu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par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tiesiskā un saturiskā ietvara izpēti un priekšlikumu izvirzīšanu, kas varētu būt viens no pamatdokumentiem, lai veidotu kopējo stratēģisko ietvaru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problēmas risināšanai. LM sagaida, ka pakalpojumu nodrošinās arvien vairāk pašvaldību, lai gan šobrīd </w:t>
            </w:r>
            <w:r w:rsidRPr="00791973">
              <w:rPr>
                <w:rFonts w:cs="Times New Roman"/>
                <w:sz w:val="22"/>
              </w:rPr>
              <w:lastRenderedPageBreak/>
              <w:t xml:space="preserve">pašvaldībās par šo mērķa grupu ir ļoti daudz stereotipu un aizspriedumu, tādēļ jāiegulda darbs arī sabiedrības attieksme maiņas pasākumos. Papildina, ka ekonomiskās sadarbības un attīstības organizācijas jeb OECD pētījumā </w:t>
            </w:r>
            <w:proofErr w:type="spellStart"/>
            <w:r w:rsidRPr="00791973">
              <w:rPr>
                <w:rFonts w:cs="Times New Roman"/>
                <w:sz w:val="22"/>
              </w:rPr>
              <w:t>bepajumtniecības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ziņā Latvija ir topa augšgalā, kas ir saistīts ar to, ka Latvijā nav nodefinēti statistiskie indikatori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uzskaitīšanai, tāpat absolūts izaicinājums ir slēptās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identificēšana. Min piemēru par Somijas paveikto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jautājumā. Lai veidotu mērķa grupai atbilstošu pakalpojumu, jāmēģina iegūt arī pakalpojumu saņēmēju jeb mērķa grupas personu viedoklis par nepieciešamajiem atbalsta pasākumiem.</w:t>
            </w:r>
          </w:p>
        </w:tc>
        <w:tc>
          <w:tcPr>
            <w:tcW w:w="4678" w:type="dxa"/>
          </w:tcPr>
          <w:p w14:paraId="634FFB43" w14:textId="77777777" w:rsidR="00C17491" w:rsidRPr="00791973" w:rsidRDefault="00D00F02" w:rsidP="009F7A4A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791973">
              <w:rPr>
                <w:rFonts w:cs="Times New Roman"/>
                <w:b/>
                <w:bCs/>
                <w:sz w:val="22"/>
              </w:rPr>
              <w:lastRenderedPageBreak/>
              <w:t>Labklājības ministrija</w:t>
            </w:r>
          </w:p>
          <w:p w14:paraId="256E4555" w14:textId="77777777" w:rsidR="00D00F02" w:rsidRPr="00791973" w:rsidRDefault="00D00F02" w:rsidP="009F7A4A">
            <w:pPr>
              <w:jc w:val="both"/>
              <w:rPr>
                <w:rFonts w:cs="Times New Roman"/>
                <w:sz w:val="22"/>
              </w:rPr>
            </w:pPr>
          </w:p>
          <w:p w14:paraId="2CF56447" w14:textId="77777777" w:rsidR="00D00F02" w:rsidRPr="00791973" w:rsidRDefault="00D00F02" w:rsidP="009F7A4A">
            <w:pPr>
              <w:jc w:val="both"/>
              <w:rPr>
                <w:rFonts w:cs="Times New Roman"/>
                <w:sz w:val="22"/>
              </w:rPr>
            </w:pPr>
            <w:r w:rsidRPr="00791973">
              <w:rPr>
                <w:rFonts w:cs="Times New Roman"/>
                <w:sz w:val="22"/>
              </w:rPr>
              <w:t>Aicina precizēt 3.punkta 5.rindkopu šādā redakcijā:</w:t>
            </w:r>
          </w:p>
          <w:p w14:paraId="7BCD1187" w14:textId="052A89D9" w:rsidR="00D00F02" w:rsidRPr="00791973" w:rsidRDefault="00D00F02" w:rsidP="009F7A4A">
            <w:pPr>
              <w:jc w:val="both"/>
              <w:rPr>
                <w:rFonts w:cs="Times New Roman"/>
                <w:sz w:val="22"/>
              </w:rPr>
            </w:pPr>
            <w:r w:rsidRPr="00791973">
              <w:rPr>
                <w:rFonts w:cs="Times New Roman"/>
                <w:sz w:val="22"/>
              </w:rPr>
              <w:t>“</w:t>
            </w:r>
            <w:proofErr w:type="spellStart"/>
            <w:r w:rsidRPr="00791973">
              <w:rPr>
                <w:rFonts w:cs="Times New Roman"/>
                <w:b/>
                <w:bCs/>
                <w:sz w:val="22"/>
              </w:rPr>
              <w:t>S.Rozentāle</w:t>
            </w:r>
            <w:proofErr w:type="spellEnd"/>
            <w:r w:rsidRPr="00791973">
              <w:rPr>
                <w:rFonts w:cs="Times New Roman"/>
                <w:b/>
                <w:bCs/>
                <w:sz w:val="22"/>
              </w:rPr>
              <w:t xml:space="preserve"> (LM)</w:t>
            </w:r>
            <w:r w:rsidRPr="00791973">
              <w:rPr>
                <w:rFonts w:cs="Times New Roman"/>
                <w:sz w:val="22"/>
              </w:rPr>
              <w:t xml:space="preserve"> skaidro, ka LM 2024.gadā ieplānojusi veikt ES fondu finansētu </w:t>
            </w:r>
            <w:proofErr w:type="spellStart"/>
            <w:r w:rsidRPr="00791973">
              <w:rPr>
                <w:rFonts w:cs="Times New Roman"/>
                <w:sz w:val="22"/>
              </w:rPr>
              <w:t>izvērtējumu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par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tiesiskā un saturiskā ietvara izpēti un priekšlikumu izvirzīšanu, kas varētu būt viens no pamatdokumentiem, lai veidotu kopējo stratēģisko ietvaru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problēmas risināšanai. LM sagaida, ka pakalpojumu nodrošinās arvien vairāk </w:t>
            </w:r>
            <w:proofErr w:type="spellStart"/>
            <w:r w:rsidRPr="00791973">
              <w:rPr>
                <w:rFonts w:cs="Times New Roman"/>
                <w:sz w:val="22"/>
              </w:rPr>
              <w:t>valstspilsētu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pašvaldību. </w:t>
            </w:r>
            <w:r w:rsidRPr="00791973">
              <w:rPr>
                <w:rFonts w:cs="Times New Roman"/>
                <w:sz w:val="22"/>
              </w:rPr>
              <w:lastRenderedPageBreak/>
              <w:t xml:space="preserve">Šobrīd pašvaldībās par šo mērķa grupu eksistē ļoti daudz stereotipu un aizspriedumu, tādēļ jāiegulda darbs arī sabiedrības attieksmes maiņas pasākumos. Papildina, ka ekonomiskās sadarbības un attīstības organizācijas jeb </w:t>
            </w:r>
            <w:bookmarkStart w:id="0" w:name="_Hlk153289366"/>
            <w:r w:rsidRPr="00791973">
              <w:rPr>
                <w:rFonts w:cs="Times New Roman"/>
                <w:sz w:val="22"/>
              </w:rPr>
              <w:t xml:space="preserve">OECD pētījumā </w:t>
            </w:r>
            <w:proofErr w:type="spellStart"/>
            <w:r w:rsidRPr="00791973">
              <w:rPr>
                <w:rFonts w:cs="Times New Roman"/>
                <w:sz w:val="22"/>
              </w:rPr>
              <w:t>bepajumtniecības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ziņā Latvija ir topa augšgalā</w:t>
            </w:r>
            <w:bookmarkEnd w:id="0"/>
            <w:r w:rsidRPr="00791973">
              <w:rPr>
                <w:rFonts w:cs="Times New Roman"/>
                <w:sz w:val="22"/>
              </w:rPr>
              <w:t xml:space="preserve">, kas ir saistīts ar to, ka Latvijā neeksistē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definīcija, nav nodefinēti statistiskie indikatori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uzskaitīšanai, tāpat izaicinājums ir slēptās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identificēšana. Min piemēru par Somijas paveikto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jautājumā. Lai veidotu mērķa grupai atbilstošu pakalpojumu, ir jāiegūst arī pakalpojumu saņēmēju jeb mērķa grupas personu viedoklis par nepieciešamajiem atbalsta pasākumiem.</w:t>
            </w:r>
            <w:r w:rsidRPr="00791973">
              <w:rPr>
                <w:rFonts w:cs="Times New Roman"/>
                <w:sz w:val="22"/>
              </w:rPr>
              <w:t>”</w:t>
            </w:r>
          </w:p>
        </w:tc>
        <w:tc>
          <w:tcPr>
            <w:tcW w:w="2552" w:type="dxa"/>
          </w:tcPr>
          <w:p w14:paraId="05265E95" w14:textId="61342B41" w:rsidR="00C17491" w:rsidRPr="00791973" w:rsidRDefault="00D00F02" w:rsidP="00C17491">
            <w:pPr>
              <w:jc w:val="both"/>
              <w:rPr>
                <w:rFonts w:cs="Times New Roman"/>
                <w:b/>
                <w:sz w:val="22"/>
              </w:rPr>
            </w:pPr>
            <w:r w:rsidRPr="00791973">
              <w:rPr>
                <w:rFonts w:cs="Times New Roman"/>
                <w:b/>
                <w:sz w:val="22"/>
              </w:rPr>
              <w:lastRenderedPageBreak/>
              <w:t>Ņemts vērā</w:t>
            </w:r>
          </w:p>
        </w:tc>
        <w:tc>
          <w:tcPr>
            <w:tcW w:w="3827" w:type="dxa"/>
          </w:tcPr>
          <w:p w14:paraId="296C4B0F" w14:textId="77777777" w:rsidR="00D00F02" w:rsidRPr="00791973" w:rsidRDefault="00D00F02" w:rsidP="00D00F02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791973">
              <w:rPr>
                <w:rFonts w:cs="Times New Roman"/>
                <w:b/>
                <w:bCs/>
                <w:sz w:val="22"/>
              </w:rPr>
              <w:t>S.Rozentāle</w:t>
            </w:r>
            <w:proofErr w:type="spellEnd"/>
            <w:r w:rsidRPr="00791973">
              <w:rPr>
                <w:rFonts w:cs="Times New Roman"/>
                <w:b/>
                <w:bCs/>
                <w:sz w:val="22"/>
              </w:rPr>
              <w:t xml:space="preserve"> (LM)</w:t>
            </w:r>
            <w:r w:rsidRPr="00791973">
              <w:rPr>
                <w:rFonts w:cs="Times New Roman"/>
                <w:sz w:val="22"/>
              </w:rPr>
              <w:t xml:space="preserve"> skaidro, ka LM 2024.gadā ieplānojusi veikt ES fondu finansētu </w:t>
            </w:r>
            <w:proofErr w:type="spellStart"/>
            <w:r w:rsidRPr="00791973">
              <w:rPr>
                <w:rFonts w:cs="Times New Roman"/>
                <w:sz w:val="22"/>
              </w:rPr>
              <w:t>izvērtējumu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par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tiesiskā un saturiskā ietvara izpēti un priekšlikumu izvirzīšanu, kas varētu būt viens no pamatdokumentiem, lai veidotu kopējo stratēģisko ietvaru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problēmas risināšanai. LM sagaida, ka pakalpojumu nodrošinās arvien vairāk </w:t>
            </w:r>
            <w:proofErr w:type="spellStart"/>
            <w:r w:rsidRPr="00791973">
              <w:rPr>
                <w:rFonts w:cs="Times New Roman"/>
                <w:sz w:val="22"/>
              </w:rPr>
              <w:t>valstspilsētu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pašvaldību. Šobrīd pašvaldībās par šo mērķa grupu eksistē </w:t>
            </w:r>
            <w:r w:rsidRPr="00791973">
              <w:rPr>
                <w:rFonts w:cs="Times New Roman"/>
                <w:sz w:val="22"/>
              </w:rPr>
              <w:lastRenderedPageBreak/>
              <w:t xml:space="preserve">ļoti daudz stereotipu un aizspriedumu, tādēļ jāiegulda darbs arī sabiedrības attieksmes maiņas pasākumos. Papildina, ka ekonomiskās sadarbības un attīstības organizācijas jeb OECD pētījumā </w:t>
            </w:r>
            <w:proofErr w:type="spellStart"/>
            <w:r w:rsidRPr="00791973">
              <w:rPr>
                <w:rFonts w:cs="Times New Roman"/>
                <w:sz w:val="22"/>
              </w:rPr>
              <w:t>bepajumtniecības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ziņā Latvija ir topa augšgalā, kas ir saistīts ar to, ka Latvijā neeksistē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definīcija, nav nodefinēti statistiskie indikatori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uzskaitīšanai, tāpat izaicinājums ir slēptās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identificēšana. Min piemēru par Somijas paveikto </w:t>
            </w:r>
            <w:proofErr w:type="spellStart"/>
            <w:r w:rsidRPr="00791973">
              <w:rPr>
                <w:rFonts w:cs="Times New Roman"/>
                <w:sz w:val="22"/>
              </w:rPr>
              <w:t>bezpajumtniecības</w:t>
            </w:r>
            <w:proofErr w:type="spellEnd"/>
            <w:r w:rsidRPr="00791973">
              <w:rPr>
                <w:rFonts w:cs="Times New Roman"/>
                <w:sz w:val="22"/>
              </w:rPr>
              <w:t xml:space="preserve"> jautājumā. Lai veidotu mērķa grupai atbilstošu pakalpojumu, ir jāiegūst arī pakalpojumu saņēmēju jeb mērķa grupas personu viedoklis par nepieciešamajiem atbalsta pasākumiem.</w:t>
            </w:r>
          </w:p>
          <w:p w14:paraId="2C073B65" w14:textId="0652D974" w:rsidR="00C17491" w:rsidRPr="00791973" w:rsidRDefault="00C17491" w:rsidP="009F7A4A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5FA94BB5" w14:textId="77777777" w:rsidR="0095483D" w:rsidRPr="003A09F1" w:rsidRDefault="0095483D">
      <w:pPr>
        <w:rPr>
          <w:rFonts w:cs="Times New Roman"/>
          <w:szCs w:val="24"/>
        </w:rPr>
      </w:pPr>
    </w:p>
    <w:sectPr w:rsidR="0095483D" w:rsidRPr="003A09F1" w:rsidSect="006A4522">
      <w:headerReference w:type="default" r:id="rId8"/>
      <w:footerReference w:type="default" r:id="rId9"/>
      <w:pgSz w:w="16838" w:h="11906" w:orient="landscape"/>
      <w:pgMar w:top="1276" w:right="720" w:bottom="720" w:left="72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417D" w14:textId="77777777" w:rsidR="00616E2D" w:rsidRDefault="00616E2D" w:rsidP="00C206C5">
      <w:r>
        <w:separator/>
      </w:r>
    </w:p>
  </w:endnote>
  <w:endnote w:type="continuationSeparator" w:id="0">
    <w:p w14:paraId="23E3F765" w14:textId="77777777" w:rsidR="00616E2D" w:rsidRDefault="00616E2D" w:rsidP="00C206C5">
      <w:r>
        <w:continuationSeparator/>
      </w:r>
    </w:p>
  </w:endnote>
  <w:endnote w:type="continuationNotice" w:id="1">
    <w:p w14:paraId="5BE9DDAB" w14:textId="77777777" w:rsidR="00616E2D" w:rsidRDefault="0061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78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2415" w14:textId="65575637" w:rsidR="006A4522" w:rsidRDefault="006A4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6750" w14:textId="77777777" w:rsidR="006A4522" w:rsidRDefault="006A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232C" w14:textId="77777777" w:rsidR="00616E2D" w:rsidRDefault="00616E2D" w:rsidP="00C206C5">
      <w:r>
        <w:separator/>
      </w:r>
    </w:p>
  </w:footnote>
  <w:footnote w:type="continuationSeparator" w:id="0">
    <w:p w14:paraId="334141C8" w14:textId="77777777" w:rsidR="00616E2D" w:rsidRDefault="00616E2D" w:rsidP="00C206C5">
      <w:r>
        <w:continuationSeparator/>
      </w:r>
    </w:p>
  </w:footnote>
  <w:footnote w:type="continuationNotice" w:id="1">
    <w:p w14:paraId="3F18EC8D" w14:textId="77777777" w:rsidR="00616E2D" w:rsidRDefault="00616E2D"/>
  </w:footnote>
  <w:footnote w:id="2">
    <w:p w14:paraId="45ADB401" w14:textId="77777777" w:rsidR="00D00F02" w:rsidRDefault="00D00F02" w:rsidP="00D00F02">
      <w:pPr>
        <w:pStyle w:val="FootnoteText"/>
      </w:pPr>
      <w:r>
        <w:rPr>
          <w:rStyle w:val="FootnoteReference"/>
        </w:rPr>
        <w:footnoteRef/>
      </w:r>
      <w:r>
        <w:t xml:space="preserve"> VARAM prezentācija: </w:t>
      </w:r>
      <w:hyperlink r:id="rId1" w:history="1">
        <w:r>
          <w:rPr>
            <w:rStyle w:val="Hyperlink"/>
          </w:rPr>
          <w:t xml:space="preserve">PowerPoint </w:t>
        </w:r>
        <w:proofErr w:type="spellStart"/>
        <w:r>
          <w:rPr>
            <w:rStyle w:val="Hyperlink"/>
          </w:rPr>
          <w:t>Presentation</w:t>
        </w:r>
        <w:proofErr w:type="spellEnd"/>
        <w:r>
          <w:rPr>
            <w:rStyle w:val="Hyperlink"/>
          </w:rPr>
          <w:t xml:space="preserve"> (esfondi.lv)</w:t>
        </w:r>
      </w:hyperlink>
    </w:p>
  </w:footnote>
  <w:footnote w:id="3">
    <w:p w14:paraId="460B9291" w14:textId="77777777" w:rsidR="00D00F02" w:rsidRDefault="00D00F02" w:rsidP="00D00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VARAM prezentācija: </w:t>
      </w:r>
      <w:hyperlink r:id="rId2" w:history="1">
        <w:r>
          <w:rPr>
            <w:rStyle w:val="Hyperlink"/>
          </w:rPr>
          <w:t xml:space="preserve">PowerPoint </w:t>
        </w:r>
        <w:proofErr w:type="spellStart"/>
        <w:r>
          <w:rPr>
            <w:rStyle w:val="Hyperlink"/>
          </w:rPr>
          <w:t>Presentation</w:t>
        </w:r>
        <w:proofErr w:type="spellEnd"/>
        <w:r>
          <w:rPr>
            <w:rStyle w:val="Hyperlink"/>
          </w:rPr>
          <w:t xml:space="preserve"> (esfondi.lv)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303" w14:textId="7B90FD9C" w:rsidR="00C206C5" w:rsidRPr="00C206C5" w:rsidRDefault="00C206C5" w:rsidP="00C206C5">
    <w:pPr>
      <w:pStyle w:val="Header"/>
      <w:jc w:val="right"/>
      <w:rPr>
        <w:i/>
        <w:iCs/>
      </w:rPr>
    </w:pPr>
    <w:r w:rsidRPr="00C206C5">
      <w:rPr>
        <w:i/>
        <w:iCs/>
      </w:rPr>
      <w:t xml:space="preserve">Sagatavots </w:t>
    </w:r>
    <w:r w:rsidR="00D50D2D">
      <w:rPr>
        <w:i/>
        <w:iCs/>
      </w:rPr>
      <w:t>02.01.2024.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369"/>
    <w:multiLevelType w:val="hybridMultilevel"/>
    <w:tmpl w:val="191EE5CC"/>
    <w:lvl w:ilvl="0" w:tplc="5F5258A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A192F"/>
    <w:multiLevelType w:val="hybridMultilevel"/>
    <w:tmpl w:val="68E0F294"/>
    <w:lvl w:ilvl="0" w:tplc="4EF0C190">
      <w:start w:val="2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63733A6"/>
    <w:multiLevelType w:val="hybridMultilevel"/>
    <w:tmpl w:val="F16A1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261"/>
    <w:multiLevelType w:val="hybridMultilevel"/>
    <w:tmpl w:val="D006355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0C01"/>
    <w:multiLevelType w:val="hybridMultilevel"/>
    <w:tmpl w:val="801C3D32"/>
    <w:lvl w:ilvl="0" w:tplc="130CEFE4">
      <w:start w:val="1"/>
      <w:numFmt w:val="decimal"/>
      <w:lvlText w:val="%1."/>
      <w:lvlJc w:val="left"/>
      <w:pPr>
        <w:ind w:left="1020" w:hanging="360"/>
      </w:pPr>
    </w:lvl>
    <w:lvl w:ilvl="1" w:tplc="AE02221E">
      <w:start w:val="1"/>
      <w:numFmt w:val="decimal"/>
      <w:lvlText w:val="%2."/>
      <w:lvlJc w:val="left"/>
      <w:pPr>
        <w:ind w:left="1020" w:hanging="360"/>
      </w:pPr>
    </w:lvl>
    <w:lvl w:ilvl="2" w:tplc="32D4770C">
      <w:start w:val="1"/>
      <w:numFmt w:val="decimal"/>
      <w:lvlText w:val="%3."/>
      <w:lvlJc w:val="left"/>
      <w:pPr>
        <w:ind w:left="1020" w:hanging="360"/>
      </w:pPr>
    </w:lvl>
    <w:lvl w:ilvl="3" w:tplc="624EA86A">
      <w:start w:val="1"/>
      <w:numFmt w:val="decimal"/>
      <w:lvlText w:val="%4."/>
      <w:lvlJc w:val="left"/>
      <w:pPr>
        <w:ind w:left="1020" w:hanging="360"/>
      </w:pPr>
    </w:lvl>
    <w:lvl w:ilvl="4" w:tplc="5D90F8F2">
      <w:start w:val="1"/>
      <w:numFmt w:val="decimal"/>
      <w:lvlText w:val="%5."/>
      <w:lvlJc w:val="left"/>
      <w:pPr>
        <w:ind w:left="1020" w:hanging="360"/>
      </w:pPr>
    </w:lvl>
    <w:lvl w:ilvl="5" w:tplc="17600D1E">
      <w:start w:val="1"/>
      <w:numFmt w:val="decimal"/>
      <w:lvlText w:val="%6."/>
      <w:lvlJc w:val="left"/>
      <w:pPr>
        <w:ind w:left="1020" w:hanging="360"/>
      </w:pPr>
    </w:lvl>
    <w:lvl w:ilvl="6" w:tplc="A25627B4">
      <w:start w:val="1"/>
      <w:numFmt w:val="decimal"/>
      <w:lvlText w:val="%7."/>
      <w:lvlJc w:val="left"/>
      <w:pPr>
        <w:ind w:left="1020" w:hanging="360"/>
      </w:pPr>
    </w:lvl>
    <w:lvl w:ilvl="7" w:tplc="B03455CC">
      <w:start w:val="1"/>
      <w:numFmt w:val="decimal"/>
      <w:lvlText w:val="%8."/>
      <w:lvlJc w:val="left"/>
      <w:pPr>
        <w:ind w:left="1020" w:hanging="360"/>
      </w:pPr>
    </w:lvl>
    <w:lvl w:ilvl="8" w:tplc="0EE601A0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41F91CDF"/>
    <w:multiLevelType w:val="hybridMultilevel"/>
    <w:tmpl w:val="854C4E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3796"/>
    <w:multiLevelType w:val="multilevel"/>
    <w:tmpl w:val="1632022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1E0BF6"/>
    <w:multiLevelType w:val="hybridMultilevel"/>
    <w:tmpl w:val="2474F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60C1"/>
    <w:multiLevelType w:val="hybridMultilevel"/>
    <w:tmpl w:val="8D961A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C2B"/>
    <w:multiLevelType w:val="hybridMultilevel"/>
    <w:tmpl w:val="000048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D6C01"/>
    <w:multiLevelType w:val="hybridMultilevel"/>
    <w:tmpl w:val="8D961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9810">
    <w:abstractNumId w:val="3"/>
  </w:num>
  <w:num w:numId="2" w16cid:durableId="54663212">
    <w:abstractNumId w:val="5"/>
  </w:num>
  <w:num w:numId="3" w16cid:durableId="586963694">
    <w:abstractNumId w:val="10"/>
  </w:num>
  <w:num w:numId="4" w16cid:durableId="473648447">
    <w:abstractNumId w:val="8"/>
  </w:num>
  <w:num w:numId="5" w16cid:durableId="947859220">
    <w:abstractNumId w:val="6"/>
  </w:num>
  <w:num w:numId="6" w16cid:durableId="665666269">
    <w:abstractNumId w:val="7"/>
  </w:num>
  <w:num w:numId="7" w16cid:durableId="341519912">
    <w:abstractNumId w:val="9"/>
  </w:num>
  <w:num w:numId="8" w16cid:durableId="1141188371">
    <w:abstractNumId w:val="0"/>
  </w:num>
  <w:num w:numId="9" w16cid:durableId="1370495153">
    <w:abstractNumId w:val="4"/>
  </w:num>
  <w:num w:numId="10" w16cid:durableId="832910296">
    <w:abstractNumId w:val="1"/>
  </w:num>
  <w:num w:numId="11" w16cid:durableId="1415280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5"/>
    <w:rsid w:val="000405ED"/>
    <w:rsid w:val="00040E1E"/>
    <w:rsid w:val="0006640D"/>
    <w:rsid w:val="000867B9"/>
    <w:rsid w:val="000A752A"/>
    <w:rsid w:val="000C5F48"/>
    <w:rsid w:val="000E1652"/>
    <w:rsid w:val="000E16A0"/>
    <w:rsid w:val="000F4CE7"/>
    <w:rsid w:val="0011524C"/>
    <w:rsid w:val="0014312E"/>
    <w:rsid w:val="001626A3"/>
    <w:rsid w:val="00173FD5"/>
    <w:rsid w:val="00183AE1"/>
    <w:rsid w:val="00193F8F"/>
    <w:rsid w:val="00197BC5"/>
    <w:rsid w:val="001A0252"/>
    <w:rsid w:val="001A5A6F"/>
    <w:rsid w:val="001B50E3"/>
    <w:rsid w:val="001E3334"/>
    <w:rsid w:val="001F64A6"/>
    <w:rsid w:val="002068FF"/>
    <w:rsid w:val="00214588"/>
    <w:rsid w:val="0022183F"/>
    <w:rsid w:val="00247D88"/>
    <w:rsid w:val="00257B55"/>
    <w:rsid w:val="00267D0B"/>
    <w:rsid w:val="002954FB"/>
    <w:rsid w:val="002B1A8E"/>
    <w:rsid w:val="002C14D1"/>
    <w:rsid w:val="002C39AF"/>
    <w:rsid w:val="002C6E76"/>
    <w:rsid w:val="002E45D5"/>
    <w:rsid w:val="003042C2"/>
    <w:rsid w:val="0031266E"/>
    <w:rsid w:val="0032380B"/>
    <w:rsid w:val="00332F6A"/>
    <w:rsid w:val="0034323A"/>
    <w:rsid w:val="00346CBE"/>
    <w:rsid w:val="003702CE"/>
    <w:rsid w:val="003A09F1"/>
    <w:rsid w:val="003B4BBF"/>
    <w:rsid w:val="003C04A0"/>
    <w:rsid w:val="003F70EC"/>
    <w:rsid w:val="003F76BE"/>
    <w:rsid w:val="00402B63"/>
    <w:rsid w:val="00422E13"/>
    <w:rsid w:val="00426E89"/>
    <w:rsid w:val="00427C0F"/>
    <w:rsid w:val="00431AA9"/>
    <w:rsid w:val="00461E9A"/>
    <w:rsid w:val="004646C6"/>
    <w:rsid w:val="004678C8"/>
    <w:rsid w:val="004A42B9"/>
    <w:rsid w:val="004C4DB5"/>
    <w:rsid w:val="004C5536"/>
    <w:rsid w:val="004E07E4"/>
    <w:rsid w:val="004F15A4"/>
    <w:rsid w:val="00511ABD"/>
    <w:rsid w:val="00525115"/>
    <w:rsid w:val="0052603E"/>
    <w:rsid w:val="00550FDD"/>
    <w:rsid w:val="005A6174"/>
    <w:rsid w:val="005D065C"/>
    <w:rsid w:val="005D6DEA"/>
    <w:rsid w:val="00614E0A"/>
    <w:rsid w:val="006151E4"/>
    <w:rsid w:val="00616CF9"/>
    <w:rsid w:val="00616E2D"/>
    <w:rsid w:val="006415BC"/>
    <w:rsid w:val="00656975"/>
    <w:rsid w:val="006628EE"/>
    <w:rsid w:val="00682324"/>
    <w:rsid w:val="006A011F"/>
    <w:rsid w:val="006A4522"/>
    <w:rsid w:val="006B0AC4"/>
    <w:rsid w:val="006B7F95"/>
    <w:rsid w:val="006D16FD"/>
    <w:rsid w:val="00706E90"/>
    <w:rsid w:val="00725F6C"/>
    <w:rsid w:val="00735D0C"/>
    <w:rsid w:val="007426AE"/>
    <w:rsid w:val="00763699"/>
    <w:rsid w:val="00791973"/>
    <w:rsid w:val="007A6CA5"/>
    <w:rsid w:val="007C11C0"/>
    <w:rsid w:val="007C67F2"/>
    <w:rsid w:val="007D033D"/>
    <w:rsid w:val="007E4D56"/>
    <w:rsid w:val="007E59EF"/>
    <w:rsid w:val="007E6C8F"/>
    <w:rsid w:val="007F45AB"/>
    <w:rsid w:val="007F6977"/>
    <w:rsid w:val="0080328A"/>
    <w:rsid w:val="0082686D"/>
    <w:rsid w:val="008329BA"/>
    <w:rsid w:val="0084530A"/>
    <w:rsid w:val="00855EAB"/>
    <w:rsid w:val="00886B15"/>
    <w:rsid w:val="008A56B4"/>
    <w:rsid w:val="008D421D"/>
    <w:rsid w:val="008E218F"/>
    <w:rsid w:val="008F2F97"/>
    <w:rsid w:val="008F7485"/>
    <w:rsid w:val="0090412B"/>
    <w:rsid w:val="00907F2D"/>
    <w:rsid w:val="00911ADB"/>
    <w:rsid w:val="0091324A"/>
    <w:rsid w:val="00930DBD"/>
    <w:rsid w:val="00932D9B"/>
    <w:rsid w:val="00945CD4"/>
    <w:rsid w:val="0095483B"/>
    <w:rsid w:val="0095483D"/>
    <w:rsid w:val="009A3739"/>
    <w:rsid w:val="009C269F"/>
    <w:rsid w:val="009E5345"/>
    <w:rsid w:val="009F7A4A"/>
    <w:rsid w:val="00A01B87"/>
    <w:rsid w:val="00A147B9"/>
    <w:rsid w:val="00A5563B"/>
    <w:rsid w:val="00A7199C"/>
    <w:rsid w:val="00A729EB"/>
    <w:rsid w:val="00A9094C"/>
    <w:rsid w:val="00AB63ED"/>
    <w:rsid w:val="00AC798F"/>
    <w:rsid w:val="00AD01BF"/>
    <w:rsid w:val="00AD5D4C"/>
    <w:rsid w:val="00B00E73"/>
    <w:rsid w:val="00B11366"/>
    <w:rsid w:val="00B7373A"/>
    <w:rsid w:val="00BA7A43"/>
    <w:rsid w:val="00BC77F3"/>
    <w:rsid w:val="00BD24DB"/>
    <w:rsid w:val="00BE610C"/>
    <w:rsid w:val="00BF3860"/>
    <w:rsid w:val="00C10BF8"/>
    <w:rsid w:val="00C14A28"/>
    <w:rsid w:val="00C17491"/>
    <w:rsid w:val="00C206C5"/>
    <w:rsid w:val="00C22AFC"/>
    <w:rsid w:val="00C40469"/>
    <w:rsid w:val="00C54CBB"/>
    <w:rsid w:val="00CA65C0"/>
    <w:rsid w:val="00CB38A0"/>
    <w:rsid w:val="00CC6C12"/>
    <w:rsid w:val="00CE2DE2"/>
    <w:rsid w:val="00D00F02"/>
    <w:rsid w:val="00D15B63"/>
    <w:rsid w:val="00D20F23"/>
    <w:rsid w:val="00D245CD"/>
    <w:rsid w:val="00D27588"/>
    <w:rsid w:val="00D33CA2"/>
    <w:rsid w:val="00D4205F"/>
    <w:rsid w:val="00D4226A"/>
    <w:rsid w:val="00D50D2D"/>
    <w:rsid w:val="00D77090"/>
    <w:rsid w:val="00D80EC7"/>
    <w:rsid w:val="00D8477D"/>
    <w:rsid w:val="00D86E2B"/>
    <w:rsid w:val="00DA0745"/>
    <w:rsid w:val="00DA2920"/>
    <w:rsid w:val="00DC71EE"/>
    <w:rsid w:val="00DE58BC"/>
    <w:rsid w:val="00DF1ACB"/>
    <w:rsid w:val="00E04B9E"/>
    <w:rsid w:val="00E20A8E"/>
    <w:rsid w:val="00E26327"/>
    <w:rsid w:val="00E33A9A"/>
    <w:rsid w:val="00E5693B"/>
    <w:rsid w:val="00E63C76"/>
    <w:rsid w:val="00EA704A"/>
    <w:rsid w:val="00EB03CF"/>
    <w:rsid w:val="00EB161C"/>
    <w:rsid w:val="00EC1E54"/>
    <w:rsid w:val="00EC2169"/>
    <w:rsid w:val="00ED2241"/>
    <w:rsid w:val="00EE14B2"/>
    <w:rsid w:val="00EE5142"/>
    <w:rsid w:val="00EF77D9"/>
    <w:rsid w:val="00F100D3"/>
    <w:rsid w:val="00F222A4"/>
    <w:rsid w:val="00F40FCF"/>
    <w:rsid w:val="00F53FFC"/>
    <w:rsid w:val="00F82888"/>
    <w:rsid w:val="00F93246"/>
    <w:rsid w:val="00FB0471"/>
    <w:rsid w:val="00FB5867"/>
    <w:rsid w:val="00FC464B"/>
    <w:rsid w:val="00FC5D5E"/>
    <w:rsid w:val="06C42C52"/>
    <w:rsid w:val="0EADB9F2"/>
    <w:rsid w:val="17ACCD66"/>
    <w:rsid w:val="1A73DDD1"/>
    <w:rsid w:val="3435FE20"/>
    <w:rsid w:val="3C73634D"/>
    <w:rsid w:val="4651B283"/>
    <w:rsid w:val="62C17882"/>
    <w:rsid w:val="7E26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896B5"/>
  <w15:chartTrackingRefBased/>
  <w15:docId w15:val="{093AB5E2-1CA9-4826-9375-1F7F4B9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C5"/>
    <w:pPr>
      <w:spacing w:after="0"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C5"/>
  </w:style>
  <w:style w:type="paragraph" w:styleId="Footer">
    <w:name w:val="footer"/>
    <w:basedOn w:val="Normal"/>
    <w:link w:val="FooterChar"/>
    <w:uiPriority w:val="99"/>
    <w:unhideWhenUsed/>
    <w:rsid w:val="00C206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C5"/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"/>
    <w:basedOn w:val="Normal"/>
    <w:link w:val="ListParagraphChar"/>
    <w:uiPriority w:val="34"/>
    <w:qFormat/>
    <w:rsid w:val="00C206C5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C206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C206C5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4A42B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42B9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2B9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2B9"/>
    <w:rPr>
      <w:vertAlign w:val="superscript"/>
    </w:rPr>
  </w:style>
  <w:style w:type="paragraph" w:customStyle="1" w:styleId="Default">
    <w:name w:val="Default"/>
    <w:uiPriority w:val="99"/>
    <w:rsid w:val="00ED2241"/>
    <w:pPr>
      <w:autoSpaceDE w:val="0"/>
      <w:autoSpaceDN w:val="0"/>
      <w:adjustRightInd w:val="0"/>
      <w:spacing w:after="0" w:line="240" w:lineRule="auto"/>
      <w:ind w:left="425" w:hanging="425"/>
      <w:jc w:val="both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2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2A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A4"/>
    <w:rPr>
      <w:rFonts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05F"/>
    <w:pPr>
      <w:spacing w:after="0" w:line="240" w:lineRule="auto"/>
    </w:pPr>
    <w:rPr>
      <w:rFonts w:cstheme="minorBidi"/>
      <w:szCs w:val="22"/>
    </w:rPr>
  </w:style>
  <w:style w:type="character" w:customStyle="1" w:styleId="cf01">
    <w:name w:val="cf01"/>
    <w:basedOn w:val="DefaultParagraphFont"/>
    <w:rsid w:val="00B00E73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4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B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fondi.lv/uk_ak_2014_2020_assets/01_uzraudzibas_komiteja/01_s%C4%93de/2023-12-06_uk_sede/1_darba_materiali/2_varam_2211_ikt_uk_06122023.pdf" TargetMode="External"/><Relationship Id="rId1" Type="http://schemas.openxmlformats.org/officeDocument/2006/relationships/hyperlink" Target="https://www.esfondi.lv/uk_ak_2014_2020_assets/01_uzraudzibas_komiteja/01_s%C4%93de/2023-12-06_uk_sede/1_darba_materiali/2_varam_2211_ikt_uk_0612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B187-BBA7-4495-B292-BD2706439A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36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https://www.esfondi.lv/profesionaliem/uzraudzibas-komiteja/uk-e-portfelis-2021-2027/26-01-2023-2021-2027-planosanas-perioda-uzraudzibas-komitejas-sede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https://www.esfondi.lv/profesionaliem/uzraudzibas-komiteja/uk-e-portfelis-2021-2027/2023-11-23-uk-2021-2027-sede</vt:lpwstr>
      </vt:variant>
      <vt:variant>
        <vt:lpwstr/>
      </vt:variant>
      <vt:variant>
        <vt:i4>2162778</vt:i4>
      </vt:variant>
      <vt:variant>
        <vt:i4>6</vt:i4>
      </vt:variant>
      <vt:variant>
        <vt:i4>0</vt:i4>
      </vt:variant>
      <vt:variant>
        <vt:i4>5</vt:i4>
      </vt:variant>
      <vt:variant>
        <vt:lpwstr>https://www.esfondi.lv/profesionaliem/uzraudzibas-komiteja/uk-e-portfelis-2021-2027/2023-10-20-uk-rakstiska-procedura-ex-ante_novertejums</vt:lpwstr>
      </vt:variant>
      <vt:variant>
        <vt:lpwstr/>
      </vt:variant>
      <vt:variant>
        <vt:i4>2162778</vt:i4>
      </vt:variant>
      <vt:variant>
        <vt:i4>3</vt:i4>
      </vt:variant>
      <vt:variant>
        <vt:i4>0</vt:i4>
      </vt:variant>
      <vt:variant>
        <vt:i4>5</vt:i4>
      </vt:variant>
      <vt:variant>
        <vt:lpwstr>https://www.esfondi.lv/profesionaliem/uzraudzibas-komiteja/uk-e-portfelis-2021-2027/2023-10-20-uk-rakstiska-procedura-ex-ante_novertejums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https://www.esfondi.lv/profesionaliem/uzraudzibas-komiteja/uk-e-portfelis-2021-2027/2023-10-20-uk-rakstiska-procedura-ex-ante_novertejums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https://likumi.lv/ta/id/291867-prasibas-zalajam-publiskajam-iepirkumam-un-to-piemerosanas-kartiba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30</cp:revision>
  <dcterms:created xsi:type="dcterms:W3CDTF">2023-12-20T03:14:00Z</dcterms:created>
  <dcterms:modified xsi:type="dcterms:W3CDTF">2024-01-02T09:41:00Z</dcterms:modified>
</cp:coreProperties>
</file>