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FB62" w14:textId="45AA7E6B" w:rsidR="00013C07" w:rsidRPr="00E05D3D" w:rsidRDefault="00355957" w:rsidP="005B6FFE">
      <w:pPr>
        <w:jc w:val="center"/>
        <w:rPr>
          <w:rFonts w:cs="Times New Roman"/>
          <w:b/>
          <w:sz w:val="20"/>
          <w:szCs w:val="20"/>
        </w:rPr>
      </w:pPr>
      <w:r w:rsidRPr="00E05D3D">
        <w:rPr>
          <w:rFonts w:cs="Times New Roman"/>
          <w:b/>
          <w:sz w:val="20"/>
          <w:szCs w:val="20"/>
        </w:rPr>
        <w:t>Izziņa par saņemtajiem komentāriem par</w:t>
      </w:r>
      <w:r w:rsidR="00A56944" w:rsidRPr="00E05D3D">
        <w:rPr>
          <w:rFonts w:cs="Times New Roman"/>
          <w:b/>
          <w:sz w:val="20"/>
          <w:szCs w:val="20"/>
        </w:rPr>
        <w:t xml:space="preserve"> </w:t>
      </w:r>
    </w:p>
    <w:p w14:paraId="3501A1FF" w14:textId="77777777" w:rsidR="00D658DB" w:rsidRPr="00E05D3D" w:rsidRDefault="00013C07" w:rsidP="005B6FFE">
      <w:pPr>
        <w:jc w:val="center"/>
        <w:rPr>
          <w:rFonts w:cs="Times New Roman"/>
          <w:b/>
          <w:sz w:val="20"/>
          <w:szCs w:val="20"/>
        </w:rPr>
      </w:pPr>
      <w:r w:rsidRPr="00E05D3D">
        <w:rPr>
          <w:rFonts w:cs="Times New Roman"/>
          <w:b/>
          <w:sz w:val="20"/>
          <w:szCs w:val="20"/>
        </w:rPr>
        <w:t>“</w:t>
      </w:r>
      <w:r w:rsidR="00F21259" w:rsidRPr="00E05D3D">
        <w:rPr>
          <w:rFonts w:cs="Times New Roman"/>
          <w:b/>
          <w:sz w:val="20"/>
          <w:szCs w:val="20"/>
        </w:rPr>
        <w:t>Eiropas Reģionālās attīstības fonda, Eiropas Sociālā fonda plus,  Kohēzijas fonda un Taisnīg</w:t>
      </w:r>
      <w:r w:rsidR="007E3D87" w:rsidRPr="00E05D3D">
        <w:rPr>
          <w:rFonts w:cs="Times New Roman"/>
          <w:b/>
          <w:sz w:val="20"/>
          <w:szCs w:val="20"/>
        </w:rPr>
        <w:t>a</w:t>
      </w:r>
      <w:r w:rsidR="00F21259" w:rsidRPr="00E05D3D">
        <w:rPr>
          <w:rFonts w:cs="Times New Roman"/>
          <w:b/>
          <w:sz w:val="20"/>
          <w:szCs w:val="20"/>
        </w:rPr>
        <w:t xml:space="preserve">s pārkārtošanās fonda </w:t>
      </w:r>
    </w:p>
    <w:p w14:paraId="04364A8D" w14:textId="751B0D56" w:rsidR="00FE5C8E" w:rsidRPr="00E05D3D" w:rsidRDefault="00F21259" w:rsidP="005B6FFE">
      <w:pPr>
        <w:jc w:val="center"/>
        <w:rPr>
          <w:rFonts w:cs="Times New Roman"/>
          <w:b/>
          <w:sz w:val="20"/>
          <w:szCs w:val="20"/>
        </w:rPr>
      </w:pPr>
      <w:r w:rsidRPr="00E05D3D">
        <w:rPr>
          <w:rFonts w:cs="Times New Roman"/>
          <w:b/>
          <w:sz w:val="20"/>
          <w:szCs w:val="20"/>
        </w:rPr>
        <w:t>projektu iesniegumu atlases metodika 2021.–2027.gadam</w:t>
      </w:r>
      <w:r w:rsidR="00013C07" w:rsidRPr="00E05D3D">
        <w:rPr>
          <w:rFonts w:cs="Times New Roman"/>
          <w:b/>
          <w:sz w:val="20"/>
          <w:szCs w:val="20"/>
        </w:rPr>
        <w:t xml:space="preserve">” </w:t>
      </w:r>
      <w:r w:rsidR="00FE5C8E" w:rsidRPr="00E05D3D">
        <w:rPr>
          <w:rFonts w:cs="Times New Roman"/>
          <w:b/>
          <w:sz w:val="20"/>
          <w:szCs w:val="20"/>
        </w:rPr>
        <w:t>projektu</w:t>
      </w:r>
      <w:r w:rsidR="00D658DB" w:rsidRPr="00E05D3D">
        <w:rPr>
          <w:rFonts w:cs="Times New Roman"/>
          <w:b/>
          <w:sz w:val="20"/>
          <w:szCs w:val="20"/>
        </w:rPr>
        <w:t xml:space="preserve"> </w:t>
      </w:r>
    </w:p>
    <w:p w14:paraId="62CCD3D5" w14:textId="22593ADB" w:rsidR="00D658DB" w:rsidRPr="00E05D3D" w:rsidRDefault="00D658DB" w:rsidP="005B6FFE">
      <w:pPr>
        <w:jc w:val="center"/>
        <w:rPr>
          <w:rFonts w:cs="Times New Roman"/>
          <w:bCs/>
          <w:i/>
          <w:iCs/>
          <w:sz w:val="20"/>
          <w:szCs w:val="20"/>
        </w:rPr>
      </w:pPr>
      <w:r w:rsidRPr="00E05D3D">
        <w:rPr>
          <w:rFonts w:cs="Times New Roman"/>
          <w:bCs/>
          <w:i/>
          <w:iCs/>
          <w:sz w:val="20"/>
          <w:szCs w:val="20"/>
        </w:rPr>
        <w:t xml:space="preserve">(ES fondu uzraudzības komitejas 2014.-2020.gada plānošanas perioda neformālās saskaņošanas ietvaros </w:t>
      </w:r>
      <w:r w:rsidR="00536DDA">
        <w:rPr>
          <w:rFonts w:cs="Times New Roman"/>
          <w:bCs/>
          <w:i/>
          <w:iCs/>
          <w:sz w:val="20"/>
          <w:szCs w:val="20"/>
        </w:rPr>
        <w:t>09.11.2022.-25.11.2022.</w:t>
      </w:r>
      <w:r w:rsidRPr="00E05D3D">
        <w:rPr>
          <w:rFonts w:cs="Times New Roman"/>
          <w:bCs/>
          <w:i/>
          <w:iCs/>
          <w:sz w:val="20"/>
          <w:szCs w:val="20"/>
        </w:rPr>
        <w:t>.)</w:t>
      </w:r>
    </w:p>
    <w:p w14:paraId="15D27B34" w14:textId="77777777" w:rsidR="00FE5C8E" w:rsidRPr="00E05D3D" w:rsidRDefault="00FE5C8E" w:rsidP="005B6FFE">
      <w:pPr>
        <w:jc w:val="both"/>
        <w:rPr>
          <w:rFonts w:cs="Times New Roman"/>
          <w:b/>
          <w:sz w:val="20"/>
          <w:szCs w:val="20"/>
        </w:rPr>
      </w:pPr>
    </w:p>
    <w:p w14:paraId="55B68662" w14:textId="427CED44" w:rsidR="00AD4BB1" w:rsidRPr="00E05D3D" w:rsidRDefault="00AD4BB1" w:rsidP="005B6FFE">
      <w:pPr>
        <w:tabs>
          <w:tab w:val="left" w:pos="4028"/>
        </w:tabs>
        <w:rPr>
          <w:rFonts w:cs="Times New Roman"/>
          <w:sz w:val="20"/>
          <w:szCs w:val="20"/>
        </w:rPr>
      </w:pPr>
    </w:p>
    <w:tbl>
      <w:tblPr>
        <w:tblStyle w:val="TableGrid"/>
        <w:tblpPr w:leftFromText="180" w:rightFromText="180" w:vertAnchor="text" w:tblpY="58"/>
        <w:tblW w:w="13887" w:type="dxa"/>
        <w:tblLayout w:type="fixed"/>
        <w:tblLook w:val="04A0" w:firstRow="1" w:lastRow="0" w:firstColumn="1" w:lastColumn="0" w:noHBand="0" w:noVBand="1"/>
      </w:tblPr>
      <w:tblGrid>
        <w:gridCol w:w="562"/>
        <w:gridCol w:w="4678"/>
        <w:gridCol w:w="4820"/>
        <w:gridCol w:w="3827"/>
      </w:tblGrid>
      <w:tr w:rsidR="00AD4BB1" w:rsidRPr="0097713D" w14:paraId="72DB36F3" w14:textId="77777777" w:rsidTr="009F1082">
        <w:trPr>
          <w:tblHeader/>
        </w:trPr>
        <w:tc>
          <w:tcPr>
            <w:tcW w:w="562" w:type="dxa"/>
            <w:shd w:val="clear" w:color="auto" w:fill="D9D9D9" w:themeFill="background1" w:themeFillShade="D9"/>
            <w:vAlign w:val="center"/>
          </w:tcPr>
          <w:p w14:paraId="4E468E50" w14:textId="77777777" w:rsidR="00AD4BB1" w:rsidRPr="0097713D" w:rsidRDefault="00AD4BB1" w:rsidP="0097713D">
            <w:pPr>
              <w:rPr>
                <w:rFonts w:cs="Times New Roman"/>
                <w:b/>
                <w:sz w:val="20"/>
                <w:szCs w:val="20"/>
              </w:rPr>
            </w:pPr>
            <w:r w:rsidRPr="0097713D">
              <w:rPr>
                <w:rFonts w:cs="Times New Roman"/>
                <w:b/>
                <w:sz w:val="20"/>
                <w:szCs w:val="20"/>
              </w:rPr>
              <w:t>Nr. p.k.</w:t>
            </w:r>
          </w:p>
        </w:tc>
        <w:tc>
          <w:tcPr>
            <w:tcW w:w="4678" w:type="dxa"/>
            <w:shd w:val="clear" w:color="auto" w:fill="D9D9D9" w:themeFill="background1" w:themeFillShade="D9"/>
            <w:vAlign w:val="center"/>
          </w:tcPr>
          <w:p w14:paraId="03CE6DF4" w14:textId="77777777" w:rsidR="00AD4BB1" w:rsidRPr="0097713D" w:rsidRDefault="00AD4BB1" w:rsidP="0097713D">
            <w:pPr>
              <w:jc w:val="center"/>
              <w:rPr>
                <w:rFonts w:cs="Times New Roman"/>
                <w:b/>
                <w:sz w:val="20"/>
                <w:szCs w:val="20"/>
              </w:rPr>
            </w:pPr>
            <w:r w:rsidRPr="0097713D">
              <w:rPr>
                <w:rFonts w:cs="Times New Roman"/>
                <w:b/>
                <w:sz w:val="20"/>
                <w:szCs w:val="20"/>
              </w:rPr>
              <w:t>Vadlīniju projektā piedāvātā redakcija</w:t>
            </w:r>
          </w:p>
        </w:tc>
        <w:tc>
          <w:tcPr>
            <w:tcW w:w="4820" w:type="dxa"/>
            <w:shd w:val="clear" w:color="auto" w:fill="D9D9D9" w:themeFill="background1" w:themeFillShade="D9"/>
            <w:vAlign w:val="center"/>
          </w:tcPr>
          <w:p w14:paraId="215CE9C8" w14:textId="77777777" w:rsidR="00AD4BB1" w:rsidRPr="0097713D" w:rsidRDefault="00AD4BB1" w:rsidP="0097713D">
            <w:pPr>
              <w:jc w:val="center"/>
              <w:rPr>
                <w:rFonts w:cs="Times New Roman"/>
                <w:b/>
                <w:sz w:val="20"/>
                <w:szCs w:val="20"/>
              </w:rPr>
            </w:pPr>
            <w:r w:rsidRPr="0097713D">
              <w:rPr>
                <w:rFonts w:cs="Times New Roman"/>
                <w:b/>
                <w:sz w:val="20"/>
                <w:szCs w:val="20"/>
              </w:rPr>
              <w:t>Iestādes komentārs</w:t>
            </w:r>
          </w:p>
        </w:tc>
        <w:tc>
          <w:tcPr>
            <w:tcW w:w="3827" w:type="dxa"/>
            <w:shd w:val="clear" w:color="auto" w:fill="D9D9D9" w:themeFill="background1" w:themeFillShade="D9"/>
            <w:vAlign w:val="center"/>
          </w:tcPr>
          <w:p w14:paraId="048163B8" w14:textId="77777777" w:rsidR="00AD4BB1" w:rsidRPr="0097713D" w:rsidRDefault="00AD4BB1" w:rsidP="0097713D">
            <w:pPr>
              <w:jc w:val="center"/>
              <w:rPr>
                <w:rFonts w:cs="Times New Roman"/>
                <w:b/>
                <w:sz w:val="20"/>
                <w:szCs w:val="20"/>
              </w:rPr>
            </w:pPr>
            <w:r w:rsidRPr="0097713D">
              <w:rPr>
                <w:rFonts w:cs="Times New Roman"/>
                <w:b/>
                <w:sz w:val="20"/>
                <w:szCs w:val="20"/>
              </w:rPr>
              <w:t>Vadošās iestādes viedoklis</w:t>
            </w:r>
          </w:p>
        </w:tc>
      </w:tr>
      <w:tr w:rsidR="00AD4BB1" w:rsidRPr="0097713D" w14:paraId="2A36F830" w14:textId="77777777" w:rsidTr="009F1082">
        <w:trPr>
          <w:trHeight w:val="85"/>
        </w:trPr>
        <w:tc>
          <w:tcPr>
            <w:tcW w:w="562" w:type="dxa"/>
            <w:shd w:val="clear" w:color="auto" w:fill="auto"/>
          </w:tcPr>
          <w:p w14:paraId="5ED7EF74" w14:textId="77777777" w:rsidR="00AD4BB1" w:rsidRPr="0097713D" w:rsidRDefault="00AD4BB1" w:rsidP="0097713D">
            <w:pPr>
              <w:pStyle w:val="ListParagraph"/>
              <w:numPr>
                <w:ilvl w:val="0"/>
                <w:numId w:val="12"/>
              </w:numPr>
              <w:rPr>
                <w:rFonts w:cs="Times New Roman"/>
                <w:bCs/>
                <w:sz w:val="20"/>
                <w:szCs w:val="20"/>
              </w:rPr>
            </w:pPr>
          </w:p>
        </w:tc>
        <w:tc>
          <w:tcPr>
            <w:tcW w:w="4678" w:type="dxa"/>
            <w:vMerge w:val="restart"/>
            <w:shd w:val="clear" w:color="auto" w:fill="auto"/>
          </w:tcPr>
          <w:p w14:paraId="1D0A13A1" w14:textId="77777777" w:rsidR="00AD4BB1" w:rsidRPr="0097713D" w:rsidRDefault="00AD4BB1" w:rsidP="0097713D">
            <w:pPr>
              <w:tabs>
                <w:tab w:val="left" w:pos="603"/>
              </w:tabs>
              <w:jc w:val="both"/>
              <w:rPr>
                <w:rFonts w:cs="Times New Roman"/>
                <w:b/>
                <w:bCs/>
                <w:sz w:val="20"/>
                <w:szCs w:val="20"/>
              </w:rPr>
            </w:pPr>
            <w:r w:rsidRPr="0097713D">
              <w:rPr>
                <w:rFonts w:cs="Times New Roman"/>
                <w:b/>
                <w:bCs/>
                <w:sz w:val="20"/>
                <w:szCs w:val="20"/>
              </w:rPr>
              <w:t>Vispārīgs komentārs</w:t>
            </w:r>
          </w:p>
          <w:p w14:paraId="269FBCD7" w14:textId="77777777" w:rsidR="00AD4BB1" w:rsidRPr="0097713D" w:rsidRDefault="00AD4BB1" w:rsidP="0097713D">
            <w:pPr>
              <w:tabs>
                <w:tab w:val="left" w:pos="603"/>
              </w:tabs>
              <w:jc w:val="both"/>
              <w:rPr>
                <w:rFonts w:cs="Times New Roman"/>
                <w:b/>
                <w:bCs/>
                <w:sz w:val="20"/>
                <w:szCs w:val="20"/>
              </w:rPr>
            </w:pPr>
          </w:p>
        </w:tc>
        <w:tc>
          <w:tcPr>
            <w:tcW w:w="4820" w:type="dxa"/>
            <w:shd w:val="clear" w:color="auto" w:fill="auto"/>
          </w:tcPr>
          <w:p w14:paraId="591C442B" w14:textId="77777777" w:rsidR="00AD4BB1" w:rsidRPr="0097713D" w:rsidRDefault="00AD4BB1" w:rsidP="0097713D">
            <w:pPr>
              <w:jc w:val="both"/>
              <w:rPr>
                <w:rFonts w:cs="Times New Roman"/>
                <w:b/>
                <w:bCs/>
                <w:sz w:val="20"/>
                <w:szCs w:val="20"/>
              </w:rPr>
            </w:pPr>
            <w:r w:rsidRPr="0097713D">
              <w:rPr>
                <w:rFonts w:cs="Times New Roman"/>
                <w:b/>
                <w:bCs/>
                <w:sz w:val="20"/>
                <w:szCs w:val="20"/>
              </w:rPr>
              <w:t>Latvijas Lielo pilsētu asociācija</w:t>
            </w:r>
          </w:p>
          <w:p w14:paraId="2C700B13" w14:textId="77777777" w:rsidR="00AD4BB1" w:rsidRPr="0097713D" w:rsidRDefault="00AD4BB1" w:rsidP="0097713D">
            <w:pPr>
              <w:pStyle w:val="CommentText"/>
              <w:spacing w:after="0" w:line="240" w:lineRule="auto"/>
              <w:jc w:val="both"/>
              <w:rPr>
                <w:rFonts w:ascii="Times New Roman" w:hAnsi="Times New Roman"/>
                <w:bCs/>
                <w:iCs/>
              </w:rPr>
            </w:pPr>
            <w:r w:rsidRPr="0097713D">
              <w:rPr>
                <w:rFonts w:ascii="Times New Roman" w:hAnsi="Times New Roman"/>
                <w:bCs/>
                <w:iCs/>
              </w:rPr>
              <w:t>Ņemot vērā pieredzi projektu iesniegumu iesniegšanā un vērtēšanā, kas gūta Eiropas Savienības fondu 2014.-2020.gada plānošanas periodā, un ņemot vērā problemātisko un dažādi interpretējamo horizontālo kritēriju piemērošanu projektu iesniegumu vērtēšanas ietvaros, lūdzam izskatīt iespējas:</w:t>
            </w:r>
          </w:p>
          <w:p w14:paraId="6165AF7E" w14:textId="77777777" w:rsidR="00AD4BB1" w:rsidRPr="0097713D" w:rsidRDefault="00AD4BB1" w:rsidP="0097713D">
            <w:pPr>
              <w:pStyle w:val="CommentText"/>
              <w:spacing w:after="0" w:line="240" w:lineRule="auto"/>
              <w:jc w:val="both"/>
              <w:rPr>
                <w:rFonts w:ascii="Times New Roman" w:hAnsi="Times New Roman"/>
                <w:bCs/>
                <w:iCs/>
              </w:rPr>
            </w:pPr>
            <w:r w:rsidRPr="0097713D">
              <w:rPr>
                <w:rFonts w:ascii="Times New Roman" w:hAnsi="Times New Roman"/>
                <w:bCs/>
                <w:iCs/>
              </w:rPr>
              <w:t>1) atbildīgajām iestādēm un sadarbības iestādei, izstrādājot projektu iesniegumu vērtēšanas kritēriju piemērošanas metodiku, horizontālo vērtēšanas kritēriju piemērošanas skaidrojumos norādīt attiecīgajai atbalsta programmai atbilstošus piemērus kritērija izvērtēšanai un piemērošanai;</w:t>
            </w:r>
          </w:p>
          <w:p w14:paraId="150A5B94" w14:textId="77777777" w:rsidR="00AD4BB1" w:rsidRPr="0097713D" w:rsidRDefault="00AD4BB1" w:rsidP="0097713D">
            <w:pPr>
              <w:jc w:val="both"/>
              <w:rPr>
                <w:rFonts w:cs="Times New Roman"/>
                <w:b/>
                <w:bCs/>
                <w:sz w:val="20"/>
                <w:szCs w:val="20"/>
              </w:rPr>
            </w:pPr>
            <w:r w:rsidRPr="0097713D">
              <w:rPr>
                <w:rFonts w:cs="Times New Roman"/>
                <w:bCs/>
                <w:iCs/>
                <w:sz w:val="20"/>
                <w:szCs w:val="20"/>
              </w:rPr>
              <w:t>2) izskatīt iespēju vērtēšanas komisijai piesaistīt par horizontālā kritērija piemērošanas vadlīniju/ skaidrojumu/ minimālo prasību noteikšanu atbildīgās iestādes ekspertu.</w:t>
            </w:r>
          </w:p>
        </w:tc>
        <w:tc>
          <w:tcPr>
            <w:tcW w:w="3827" w:type="dxa"/>
            <w:vMerge w:val="restart"/>
            <w:shd w:val="clear" w:color="auto" w:fill="auto"/>
          </w:tcPr>
          <w:p w14:paraId="34AEBE3B" w14:textId="77777777" w:rsidR="00AD4BB1" w:rsidRPr="00967401" w:rsidRDefault="00AD4BB1" w:rsidP="0097713D">
            <w:pPr>
              <w:jc w:val="both"/>
              <w:rPr>
                <w:rFonts w:cs="Times New Roman"/>
                <w:b/>
                <w:sz w:val="20"/>
                <w:szCs w:val="20"/>
              </w:rPr>
            </w:pPr>
            <w:r w:rsidRPr="00967401">
              <w:rPr>
                <w:rFonts w:cs="Times New Roman"/>
                <w:b/>
                <w:sz w:val="20"/>
                <w:szCs w:val="20"/>
              </w:rPr>
              <w:t>Daļēji ņemts vērā. Sniegts skaidrojums.</w:t>
            </w:r>
          </w:p>
          <w:p w14:paraId="2EC49FBF" w14:textId="77777777" w:rsidR="00AD4BB1" w:rsidRPr="00967401" w:rsidRDefault="00AD4BB1" w:rsidP="0097713D">
            <w:pPr>
              <w:jc w:val="both"/>
              <w:rPr>
                <w:rFonts w:cs="Times New Roman"/>
                <w:bCs/>
                <w:sz w:val="20"/>
                <w:szCs w:val="20"/>
              </w:rPr>
            </w:pPr>
            <w:r w:rsidRPr="00967401">
              <w:rPr>
                <w:rFonts w:cs="Times New Roman"/>
                <w:bCs/>
                <w:sz w:val="20"/>
                <w:szCs w:val="20"/>
              </w:rPr>
              <w:t>1)attiecībā uz piemēru iekļaušanu – skaidrojam, ka šīs metodikas 2. un 3.pielikumā ir iekļauti vienotie kritēriju piemērošanas skaidrojumi, savukārt 4. un 5.pielikumā iekļautas minimālās prasības piemērošanas skaidrojumu izstrādei, kā arī minēti piemēri.</w:t>
            </w:r>
          </w:p>
          <w:p w14:paraId="3361B53B" w14:textId="1738C270" w:rsidR="00967401" w:rsidRPr="00967401" w:rsidRDefault="00967401" w:rsidP="0097713D">
            <w:pPr>
              <w:jc w:val="both"/>
              <w:rPr>
                <w:bCs/>
                <w:sz w:val="20"/>
                <w:szCs w:val="20"/>
              </w:rPr>
            </w:pPr>
            <w:r w:rsidRPr="00967401">
              <w:rPr>
                <w:bCs/>
                <w:sz w:val="20"/>
                <w:szCs w:val="20"/>
              </w:rPr>
              <w:t xml:space="preserve">Ņemot vērā, ka katra projekta iesnieguma unikalitāti, tostarp vienas </w:t>
            </w:r>
            <w:r>
              <w:rPr>
                <w:bCs/>
                <w:sz w:val="20"/>
                <w:szCs w:val="20"/>
              </w:rPr>
              <w:t xml:space="preserve">projektu iesniegumu </w:t>
            </w:r>
            <w:r w:rsidRPr="00967401">
              <w:rPr>
                <w:bCs/>
                <w:sz w:val="20"/>
                <w:szCs w:val="20"/>
              </w:rPr>
              <w:t>atlases ietvaros, ir neiespējami minēt visaptverošus piemērus dokumentos, kas vienlīdz attiecas uz visiem projektu iesniedzējiem</w:t>
            </w:r>
            <w:r>
              <w:rPr>
                <w:bCs/>
                <w:sz w:val="20"/>
                <w:szCs w:val="20"/>
              </w:rPr>
              <w:t>, g</w:t>
            </w:r>
            <w:r w:rsidRPr="00967401">
              <w:rPr>
                <w:bCs/>
                <w:sz w:val="20"/>
                <w:szCs w:val="20"/>
              </w:rPr>
              <w:t xml:space="preserve">adījumos, kad pirms projekta iesnieguma iesniegšanas radušās neskaidrības par konkrētas individuālas situācijas interpretāciju un atbilstību kritērija prasībām attiecīgajā atlasē, aicinām vērsties CFLA. </w:t>
            </w:r>
          </w:p>
          <w:p w14:paraId="22733F2B" w14:textId="1B1FF0B3" w:rsidR="00AD4BB1" w:rsidRPr="00967401" w:rsidRDefault="00AD4BB1" w:rsidP="0097713D">
            <w:pPr>
              <w:jc w:val="both"/>
              <w:rPr>
                <w:rFonts w:cs="Times New Roman"/>
                <w:bCs/>
                <w:sz w:val="20"/>
                <w:szCs w:val="20"/>
              </w:rPr>
            </w:pPr>
            <w:r w:rsidRPr="00967401">
              <w:rPr>
                <w:rFonts w:cs="Times New Roman"/>
                <w:bCs/>
                <w:sz w:val="20"/>
                <w:szCs w:val="20"/>
              </w:rPr>
              <w:t>ES fondu vadošā iestāde sadarbībā ar CFLA aicinās atbildīgās iestādes nodrošināt iespējami skaidru un saprotamu specifisko atbilstības un kvalitātes kritēriju, to piemērošanas skaidrojumu izstrādi.</w:t>
            </w:r>
          </w:p>
          <w:p w14:paraId="6F22EEFB" w14:textId="752B05F9" w:rsidR="00AD4BB1" w:rsidRPr="009F1082" w:rsidRDefault="00AD4BB1" w:rsidP="003A6B04">
            <w:pPr>
              <w:jc w:val="both"/>
              <w:rPr>
                <w:rFonts w:cs="Times New Roman"/>
                <w:bCs/>
                <w:sz w:val="20"/>
                <w:szCs w:val="20"/>
              </w:rPr>
            </w:pPr>
            <w:r w:rsidRPr="00A46BAB">
              <w:rPr>
                <w:rFonts w:cs="Times New Roman"/>
                <w:bCs/>
                <w:sz w:val="20"/>
                <w:szCs w:val="20"/>
              </w:rPr>
              <w:t>2)metodikas projekts jau paredz iespēju projektu iesniegumu vērtēšanas komisijām piesaistīt nepieciešamos ekspertus (skat. metodikas 52. un</w:t>
            </w:r>
            <w:r w:rsidRPr="007A269F">
              <w:rPr>
                <w:rFonts w:cs="Times New Roman"/>
                <w:bCs/>
                <w:sz w:val="20"/>
                <w:szCs w:val="20"/>
              </w:rPr>
              <w:t xml:space="preserve"> 58.punktus). CFLA, veidojot projektu iesniegumu vērtēšanas komisiju sadarbībā ar atbildīgo iestādi vērtēs nepieciešamību piesaistīt ekspertus, ņemot vērā attiecīgās at</w:t>
            </w:r>
            <w:r w:rsidRPr="009F1082">
              <w:rPr>
                <w:rFonts w:cs="Times New Roman"/>
                <w:bCs/>
                <w:sz w:val="20"/>
                <w:szCs w:val="20"/>
              </w:rPr>
              <w:t>lases projektu specifiku).</w:t>
            </w:r>
          </w:p>
        </w:tc>
      </w:tr>
      <w:tr w:rsidR="00AD4BB1" w:rsidRPr="0097713D" w14:paraId="21BAA527" w14:textId="77777777" w:rsidTr="009F1082">
        <w:trPr>
          <w:trHeight w:val="85"/>
        </w:trPr>
        <w:tc>
          <w:tcPr>
            <w:tcW w:w="562" w:type="dxa"/>
            <w:shd w:val="clear" w:color="auto" w:fill="auto"/>
          </w:tcPr>
          <w:p w14:paraId="19DC1D96"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2C67B64C" w14:textId="77777777" w:rsidR="00AD4BB1" w:rsidRPr="0097713D" w:rsidRDefault="00AD4BB1" w:rsidP="0097713D">
            <w:pPr>
              <w:tabs>
                <w:tab w:val="left" w:pos="603"/>
              </w:tabs>
              <w:jc w:val="both"/>
              <w:rPr>
                <w:rFonts w:cs="Times New Roman"/>
                <w:b/>
                <w:bCs/>
                <w:sz w:val="20"/>
                <w:szCs w:val="20"/>
              </w:rPr>
            </w:pPr>
          </w:p>
        </w:tc>
        <w:tc>
          <w:tcPr>
            <w:tcW w:w="4820" w:type="dxa"/>
            <w:shd w:val="clear" w:color="auto" w:fill="auto"/>
          </w:tcPr>
          <w:p w14:paraId="21C93AEF" w14:textId="77777777" w:rsidR="00AD4BB1" w:rsidRPr="0097713D" w:rsidRDefault="00AD4BB1" w:rsidP="0097713D">
            <w:pPr>
              <w:jc w:val="both"/>
              <w:rPr>
                <w:rFonts w:cs="Times New Roman"/>
                <w:b/>
                <w:bCs/>
                <w:sz w:val="20"/>
                <w:szCs w:val="20"/>
              </w:rPr>
            </w:pPr>
            <w:r w:rsidRPr="0097713D">
              <w:rPr>
                <w:rFonts w:cs="Times New Roman"/>
                <w:b/>
                <w:bCs/>
                <w:sz w:val="20"/>
                <w:szCs w:val="20"/>
              </w:rPr>
              <w:t>Latvijas Pašvaldību savienība</w:t>
            </w:r>
          </w:p>
          <w:p w14:paraId="3FE69494" w14:textId="77777777" w:rsidR="00AD4BB1" w:rsidRPr="0097713D" w:rsidRDefault="00AD4BB1" w:rsidP="0097713D">
            <w:pPr>
              <w:jc w:val="both"/>
              <w:rPr>
                <w:rFonts w:cs="Times New Roman"/>
                <w:sz w:val="20"/>
                <w:szCs w:val="20"/>
              </w:rPr>
            </w:pPr>
            <w:r w:rsidRPr="0097713D">
              <w:rPr>
                <w:rFonts w:cs="Times New Roman"/>
                <w:sz w:val="20"/>
                <w:szCs w:val="20"/>
              </w:rPr>
              <w:t>Ņemot vērā pieredzi projektu iesniegumu iesniegšanā un vērtēšanā, kas gūta Eiropas Savienības fondu 2014.-2020.gada plānošanas periodā, un ņemot vērā problemātisko un dažādi interpretējamo horizontālo kritēriju piemērošanu projektu iesniegumu vērtēšanas ietvaros, lūdzam izskatīt iespējas:</w:t>
            </w:r>
          </w:p>
          <w:p w14:paraId="0BDEBC9F" w14:textId="77777777" w:rsidR="00AD4BB1" w:rsidRPr="0097713D" w:rsidRDefault="00AD4BB1" w:rsidP="0097713D">
            <w:pPr>
              <w:ind w:firstLine="709"/>
              <w:jc w:val="both"/>
              <w:rPr>
                <w:rFonts w:cs="Times New Roman"/>
                <w:sz w:val="20"/>
                <w:szCs w:val="20"/>
              </w:rPr>
            </w:pPr>
            <w:r w:rsidRPr="0097713D">
              <w:rPr>
                <w:rFonts w:cs="Times New Roman"/>
                <w:sz w:val="20"/>
                <w:szCs w:val="20"/>
              </w:rPr>
              <w:t>1) atbildīgajām iestādēm un sadarbības iestādei, izstrādājot projektu iesniegumu vērtēšanas kritēriju piemērošanas metodiku, horizontālo vērtēšanas kritēriju piemērošanas skaidrojumos norādīt attiecīgajai atbalsta programmai atbilstošus piemērus kritērija izvērtēšanai un piemērošanai;</w:t>
            </w:r>
          </w:p>
          <w:p w14:paraId="7AF6E4D8" w14:textId="77777777" w:rsidR="00AD4BB1" w:rsidRPr="0097713D" w:rsidRDefault="00AD4BB1" w:rsidP="0097713D">
            <w:pPr>
              <w:ind w:firstLine="709"/>
              <w:jc w:val="both"/>
              <w:rPr>
                <w:rFonts w:cs="Times New Roman"/>
                <w:b/>
                <w:bCs/>
                <w:sz w:val="20"/>
                <w:szCs w:val="20"/>
              </w:rPr>
            </w:pPr>
            <w:r w:rsidRPr="0097713D">
              <w:rPr>
                <w:rFonts w:cs="Times New Roman"/>
                <w:sz w:val="20"/>
                <w:szCs w:val="20"/>
              </w:rPr>
              <w:t>2) izskatīt iespēju vērtēšanas komisijai piesaistīt par horizontālā kritērija piemērošanas vadlīniju/ skaidrojumu/ minimālo prasību noteikšanu atbildīgās iestādes ekspertu.</w:t>
            </w:r>
          </w:p>
        </w:tc>
        <w:tc>
          <w:tcPr>
            <w:tcW w:w="3827" w:type="dxa"/>
            <w:vMerge/>
            <w:shd w:val="clear" w:color="auto" w:fill="auto"/>
          </w:tcPr>
          <w:p w14:paraId="6CB61E70" w14:textId="77777777" w:rsidR="00AD4BB1" w:rsidRPr="0097713D" w:rsidRDefault="00AD4BB1" w:rsidP="0097713D">
            <w:pPr>
              <w:jc w:val="both"/>
              <w:rPr>
                <w:rFonts w:cs="Times New Roman"/>
                <w:b/>
                <w:sz w:val="20"/>
                <w:szCs w:val="20"/>
                <w:highlight w:val="green"/>
              </w:rPr>
            </w:pPr>
          </w:p>
        </w:tc>
      </w:tr>
      <w:tr w:rsidR="00AD4BB1" w:rsidRPr="0097713D" w14:paraId="7A302493" w14:textId="77777777" w:rsidTr="009F1082">
        <w:trPr>
          <w:trHeight w:val="85"/>
        </w:trPr>
        <w:tc>
          <w:tcPr>
            <w:tcW w:w="562" w:type="dxa"/>
            <w:shd w:val="clear" w:color="auto" w:fill="auto"/>
          </w:tcPr>
          <w:p w14:paraId="105E8364" w14:textId="77777777" w:rsidR="00AD4BB1" w:rsidRPr="0097713D" w:rsidRDefault="00AD4BB1" w:rsidP="0097713D">
            <w:pPr>
              <w:pStyle w:val="ListParagraph"/>
              <w:numPr>
                <w:ilvl w:val="0"/>
                <w:numId w:val="12"/>
              </w:numPr>
              <w:rPr>
                <w:rFonts w:cs="Times New Roman"/>
                <w:bCs/>
                <w:sz w:val="20"/>
                <w:szCs w:val="20"/>
              </w:rPr>
            </w:pPr>
          </w:p>
        </w:tc>
        <w:tc>
          <w:tcPr>
            <w:tcW w:w="4678" w:type="dxa"/>
            <w:vMerge w:val="restart"/>
            <w:shd w:val="clear" w:color="auto" w:fill="auto"/>
          </w:tcPr>
          <w:p w14:paraId="14E34BFA" w14:textId="77777777" w:rsidR="00AD4BB1" w:rsidRPr="0097713D" w:rsidRDefault="00AD4BB1" w:rsidP="0097713D">
            <w:pPr>
              <w:tabs>
                <w:tab w:val="left" w:pos="603"/>
              </w:tabs>
              <w:jc w:val="both"/>
              <w:rPr>
                <w:rFonts w:cs="Times New Roman"/>
                <w:b/>
                <w:bCs/>
                <w:sz w:val="20"/>
                <w:szCs w:val="20"/>
              </w:rPr>
            </w:pPr>
            <w:r w:rsidRPr="0097713D">
              <w:rPr>
                <w:rFonts w:cs="Times New Roman"/>
                <w:b/>
                <w:bCs/>
                <w:sz w:val="20"/>
                <w:szCs w:val="20"/>
              </w:rPr>
              <w:t>Ievads</w:t>
            </w:r>
          </w:p>
          <w:p w14:paraId="6EE67595" w14:textId="77777777" w:rsidR="00AD4BB1" w:rsidRPr="0097713D" w:rsidRDefault="00AD4BB1" w:rsidP="0097713D">
            <w:pPr>
              <w:tabs>
                <w:tab w:val="left" w:pos="603"/>
              </w:tabs>
              <w:jc w:val="both"/>
              <w:rPr>
                <w:rFonts w:cs="Times New Roman"/>
                <w:b/>
                <w:bCs/>
                <w:sz w:val="20"/>
                <w:szCs w:val="20"/>
              </w:rPr>
            </w:pPr>
            <w:r w:rsidRPr="0097713D">
              <w:rPr>
                <w:rFonts w:cs="Times New Roman"/>
                <w:b/>
                <w:bCs/>
                <w:sz w:val="20"/>
                <w:szCs w:val="20"/>
              </w:rPr>
              <w:t>2.punkts</w:t>
            </w:r>
          </w:p>
          <w:p w14:paraId="1A39C513" w14:textId="77777777" w:rsidR="00AD4BB1" w:rsidRPr="0097713D" w:rsidRDefault="00AD4BB1" w:rsidP="0097713D">
            <w:pPr>
              <w:autoSpaceDE w:val="0"/>
              <w:autoSpaceDN w:val="0"/>
              <w:adjustRightInd w:val="0"/>
              <w:jc w:val="both"/>
              <w:rPr>
                <w:rFonts w:cs="Times New Roman"/>
                <w:sz w:val="20"/>
                <w:szCs w:val="20"/>
              </w:rPr>
            </w:pPr>
            <w:r w:rsidRPr="0097713D">
              <w:rPr>
                <w:rFonts w:cs="Times New Roman"/>
                <w:sz w:val="20"/>
                <w:szCs w:val="20"/>
              </w:rPr>
              <w:t xml:space="preserve">Metodika izstrādāta, ņemot vērā </w:t>
            </w:r>
            <w:hyperlink r:id="rId8" w:history="1">
              <w:r w:rsidRPr="0097713D">
                <w:rPr>
                  <w:rStyle w:val="Hyperlink"/>
                  <w:rFonts w:cs="Times New Roman"/>
                  <w:sz w:val="20"/>
                  <w:szCs w:val="20"/>
                </w:rPr>
                <w:t>Eiropas Savienības fondu 2021.–2027.gada plānošanas perioda vadības likumā</w:t>
              </w:r>
            </w:hyperlink>
            <w:r w:rsidRPr="0097713D">
              <w:rPr>
                <w:rFonts w:cs="Times New Roman"/>
                <w:sz w:val="20"/>
                <w:szCs w:val="20"/>
              </w:rPr>
              <w:t xml:space="preserve"> (turpmāk – ES fondu vadības likums) un Ministru kabineta (turpmāk – MK) noteikumos </w:t>
            </w:r>
            <w:proofErr w:type="spellStart"/>
            <w:r w:rsidRPr="0097713D">
              <w:rPr>
                <w:rFonts w:cs="Times New Roman"/>
                <w:sz w:val="20"/>
                <w:szCs w:val="20"/>
              </w:rPr>
              <w:t>Nr.</w:t>
            </w:r>
            <w:r w:rsidRPr="0097713D">
              <w:rPr>
                <w:rFonts w:cs="Times New Roman"/>
                <w:sz w:val="20"/>
                <w:szCs w:val="20"/>
                <w:highlight w:val="yellow"/>
              </w:rPr>
              <w:t>XX</w:t>
            </w:r>
            <w:proofErr w:type="spellEnd"/>
            <w:r w:rsidRPr="0097713D">
              <w:rPr>
                <w:rStyle w:val="FootnoteReference"/>
                <w:rFonts w:cs="Times New Roman"/>
                <w:sz w:val="20"/>
                <w:szCs w:val="20"/>
              </w:rPr>
              <w:footnoteReference w:id="1"/>
            </w:r>
            <w:r w:rsidRPr="0097713D">
              <w:rPr>
                <w:rFonts w:cs="Times New Roman"/>
                <w:sz w:val="20"/>
                <w:szCs w:val="20"/>
              </w:rPr>
              <w:t xml:space="preserve"> ietvertos nosacījumus ES fondu projektu iesniegumu atlases, tai skaitā lēmuma pieņemšanas kārtībai, kā arī noteiktajiem projektu iesniedzēja izslēgšanas noteikumiem.</w:t>
            </w:r>
          </w:p>
          <w:p w14:paraId="354A2BC4" w14:textId="77777777" w:rsidR="00AD4BB1" w:rsidRPr="0097713D" w:rsidRDefault="00AD4BB1" w:rsidP="0097713D">
            <w:pPr>
              <w:tabs>
                <w:tab w:val="left" w:pos="603"/>
              </w:tabs>
              <w:jc w:val="both"/>
              <w:rPr>
                <w:rFonts w:cs="Times New Roman"/>
                <w:b/>
                <w:bCs/>
                <w:sz w:val="20"/>
                <w:szCs w:val="20"/>
              </w:rPr>
            </w:pPr>
            <w:r w:rsidRPr="0097713D">
              <w:rPr>
                <w:rFonts w:cs="Times New Roman"/>
                <w:b/>
                <w:bCs/>
                <w:sz w:val="20"/>
                <w:szCs w:val="20"/>
              </w:rPr>
              <w:t>2.zemsvītras atsauce</w:t>
            </w:r>
          </w:p>
          <w:p w14:paraId="797DCB14" w14:textId="77777777" w:rsidR="00AD4BB1" w:rsidRPr="0097713D" w:rsidRDefault="00AD4BB1" w:rsidP="0097713D">
            <w:pPr>
              <w:pStyle w:val="FootnoteText"/>
              <w:jc w:val="both"/>
              <w:rPr>
                <w:b/>
                <w:bCs/>
              </w:rPr>
            </w:pPr>
            <w:r w:rsidRPr="0097713D">
              <w:t xml:space="preserve">Kārtība, kādā Eiropas Savienības fondu vadībā iesaistītās institūcijas šo fondu ieviešanu 2021.–2027.gada plānošanas periodā </w:t>
            </w:r>
            <w:r w:rsidRPr="0097713D">
              <w:rPr>
                <w:highlight w:val="yellow"/>
              </w:rPr>
              <w:t>(projekts)</w:t>
            </w:r>
          </w:p>
        </w:tc>
        <w:tc>
          <w:tcPr>
            <w:tcW w:w="4820" w:type="dxa"/>
            <w:shd w:val="clear" w:color="auto" w:fill="auto"/>
          </w:tcPr>
          <w:p w14:paraId="69E4A60A" w14:textId="77777777" w:rsidR="00AD4BB1" w:rsidRPr="0097713D" w:rsidRDefault="00AD4BB1" w:rsidP="0097713D">
            <w:pPr>
              <w:jc w:val="both"/>
              <w:rPr>
                <w:rFonts w:cs="Times New Roman"/>
                <w:b/>
                <w:bCs/>
                <w:sz w:val="20"/>
                <w:szCs w:val="20"/>
              </w:rPr>
            </w:pPr>
            <w:r w:rsidRPr="0097713D">
              <w:rPr>
                <w:rFonts w:cs="Times New Roman"/>
                <w:b/>
                <w:bCs/>
                <w:sz w:val="20"/>
                <w:szCs w:val="20"/>
              </w:rPr>
              <w:t>Latvijas Lielo pilsētu asociācija</w:t>
            </w:r>
          </w:p>
          <w:p w14:paraId="03C2BD81" w14:textId="77777777" w:rsidR="00AD4BB1" w:rsidRPr="0097713D" w:rsidRDefault="00AD4BB1" w:rsidP="0097713D">
            <w:pPr>
              <w:pStyle w:val="CommentText"/>
              <w:spacing w:after="0" w:line="240" w:lineRule="auto"/>
              <w:jc w:val="both"/>
              <w:rPr>
                <w:rFonts w:ascii="Times New Roman" w:hAnsi="Times New Roman"/>
              </w:rPr>
            </w:pPr>
            <w:r w:rsidRPr="0097713D">
              <w:rPr>
                <w:rFonts w:ascii="Times New Roman" w:hAnsi="Times New Roman"/>
              </w:rPr>
              <w:t>Metodikas 3. lapā 2. atsaucē minētā Ministru kabineta noteikumu projekta nosaukumā trūkst darbības vārds aiz vārda “institūcijas”. Piedāvātā redakcija:</w:t>
            </w:r>
          </w:p>
          <w:p w14:paraId="60ECB89B" w14:textId="270641A0" w:rsidR="00AD4BB1" w:rsidRPr="0097713D" w:rsidRDefault="00AD4BB1" w:rsidP="00DE7E1A">
            <w:pPr>
              <w:jc w:val="both"/>
              <w:rPr>
                <w:rFonts w:cs="Times New Roman"/>
                <w:sz w:val="20"/>
                <w:szCs w:val="20"/>
              </w:rPr>
            </w:pPr>
            <w:r w:rsidRPr="0097713D">
              <w:rPr>
                <w:rFonts w:cs="Times New Roman"/>
                <w:i/>
                <w:iCs/>
                <w:sz w:val="20"/>
                <w:szCs w:val="20"/>
                <w:vertAlign w:val="superscript"/>
              </w:rPr>
              <w:t>2</w:t>
            </w:r>
            <w:r w:rsidRPr="0097713D">
              <w:rPr>
                <w:rFonts w:cs="Times New Roman"/>
                <w:i/>
                <w:iCs/>
                <w:sz w:val="20"/>
                <w:szCs w:val="20"/>
              </w:rPr>
              <w:t>Kārtība, kādā Eiropas Savienības fondu vadībā iesaistītās institūcijas nodrošina šo fondu ieviešanu 2021.–2027.gada plānošanas periodā (projekts)</w:t>
            </w:r>
          </w:p>
        </w:tc>
        <w:tc>
          <w:tcPr>
            <w:tcW w:w="3827" w:type="dxa"/>
            <w:vMerge w:val="restart"/>
            <w:shd w:val="clear" w:color="auto" w:fill="auto"/>
          </w:tcPr>
          <w:p w14:paraId="7472FBBB"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656A7D81" w14:textId="77777777" w:rsidTr="009F1082">
        <w:trPr>
          <w:trHeight w:val="85"/>
        </w:trPr>
        <w:tc>
          <w:tcPr>
            <w:tcW w:w="562" w:type="dxa"/>
            <w:shd w:val="clear" w:color="auto" w:fill="auto"/>
          </w:tcPr>
          <w:p w14:paraId="23F80E1F"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7E427255" w14:textId="77777777" w:rsidR="00AD4BB1" w:rsidRPr="0097713D" w:rsidRDefault="00AD4BB1" w:rsidP="0097713D">
            <w:pPr>
              <w:tabs>
                <w:tab w:val="left" w:pos="603"/>
              </w:tabs>
              <w:jc w:val="both"/>
              <w:rPr>
                <w:rFonts w:cs="Times New Roman"/>
                <w:b/>
                <w:bCs/>
                <w:sz w:val="20"/>
                <w:szCs w:val="20"/>
              </w:rPr>
            </w:pPr>
          </w:p>
        </w:tc>
        <w:tc>
          <w:tcPr>
            <w:tcW w:w="4820" w:type="dxa"/>
            <w:shd w:val="clear" w:color="auto" w:fill="auto"/>
          </w:tcPr>
          <w:p w14:paraId="56291420" w14:textId="77777777" w:rsidR="00AD4BB1" w:rsidRPr="0097713D" w:rsidRDefault="00AD4BB1" w:rsidP="0097713D">
            <w:pPr>
              <w:jc w:val="both"/>
              <w:rPr>
                <w:rFonts w:cs="Times New Roman"/>
                <w:b/>
                <w:bCs/>
                <w:sz w:val="20"/>
                <w:szCs w:val="20"/>
              </w:rPr>
            </w:pPr>
            <w:r w:rsidRPr="0097713D">
              <w:rPr>
                <w:rFonts w:cs="Times New Roman"/>
                <w:b/>
                <w:bCs/>
                <w:sz w:val="20"/>
                <w:szCs w:val="20"/>
              </w:rPr>
              <w:t>Latvijas Pašvaldību savienība</w:t>
            </w:r>
          </w:p>
          <w:p w14:paraId="00F5E32D" w14:textId="77777777" w:rsidR="00AD4BB1" w:rsidRPr="0097713D" w:rsidRDefault="00AD4BB1" w:rsidP="0097713D">
            <w:pPr>
              <w:jc w:val="both"/>
              <w:rPr>
                <w:rFonts w:cs="Times New Roman"/>
                <w:sz w:val="20"/>
                <w:szCs w:val="20"/>
              </w:rPr>
            </w:pPr>
            <w:r w:rsidRPr="0097713D">
              <w:rPr>
                <w:rFonts w:cs="Times New Roman"/>
                <w:sz w:val="20"/>
                <w:szCs w:val="20"/>
              </w:rPr>
              <w:t>Metodikas 3. lapā 2. atsaucē minētā Ministru kabineta noteikumu projekta nosaukumā trūkst darbības vārds aiz vārda “institūcijas”.</w:t>
            </w:r>
          </w:p>
          <w:p w14:paraId="7418D6C3" w14:textId="77777777" w:rsidR="00AD4BB1" w:rsidRPr="0097713D" w:rsidRDefault="00AD4BB1" w:rsidP="0097713D">
            <w:pPr>
              <w:jc w:val="both"/>
              <w:rPr>
                <w:rFonts w:cs="Times New Roman"/>
                <w:b/>
                <w:bCs/>
                <w:sz w:val="20"/>
                <w:szCs w:val="20"/>
              </w:rPr>
            </w:pPr>
            <w:r w:rsidRPr="0097713D">
              <w:rPr>
                <w:rFonts w:cs="Times New Roman"/>
                <w:sz w:val="20"/>
                <w:szCs w:val="20"/>
              </w:rPr>
              <w:t>Piedāvātā redakcija: “Kārtība, kādā Eiropas Savienības fondu vadībā iesaistītās institūcijas nodrošina šo fondu ieviešanu 2021.–2027.gada plānošanas periodā (projekts)”</w:t>
            </w:r>
          </w:p>
        </w:tc>
        <w:tc>
          <w:tcPr>
            <w:tcW w:w="3827" w:type="dxa"/>
            <w:vMerge/>
            <w:shd w:val="clear" w:color="auto" w:fill="auto"/>
          </w:tcPr>
          <w:p w14:paraId="77F3F77D" w14:textId="77777777" w:rsidR="00AD4BB1" w:rsidRPr="0097713D" w:rsidRDefault="00AD4BB1" w:rsidP="0097713D">
            <w:pPr>
              <w:jc w:val="both"/>
              <w:rPr>
                <w:rFonts w:cs="Times New Roman"/>
                <w:b/>
                <w:sz w:val="20"/>
                <w:szCs w:val="20"/>
              </w:rPr>
            </w:pPr>
          </w:p>
        </w:tc>
      </w:tr>
      <w:tr w:rsidR="00AD4BB1" w:rsidRPr="0097713D" w14:paraId="36A2616B" w14:textId="77777777" w:rsidTr="009F1082">
        <w:trPr>
          <w:trHeight w:val="85"/>
        </w:trPr>
        <w:tc>
          <w:tcPr>
            <w:tcW w:w="562" w:type="dxa"/>
            <w:shd w:val="clear" w:color="auto" w:fill="auto"/>
          </w:tcPr>
          <w:p w14:paraId="415DAAE2"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417184F5" w14:textId="77777777" w:rsidR="00AD4BB1" w:rsidRPr="0097713D" w:rsidRDefault="00AD4BB1" w:rsidP="0097713D">
            <w:pPr>
              <w:jc w:val="both"/>
              <w:rPr>
                <w:rFonts w:cs="Times New Roman"/>
                <w:b/>
                <w:bCs/>
                <w:sz w:val="20"/>
                <w:szCs w:val="20"/>
              </w:rPr>
            </w:pPr>
            <w:r w:rsidRPr="0097713D">
              <w:rPr>
                <w:rFonts w:cs="Times New Roman"/>
                <w:b/>
                <w:bCs/>
                <w:sz w:val="20"/>
                <w:szCs w:val="20"/>
              </w:rPr>
              <w:t>1.sadaļa “Projektu iesniegumu vērtēšanas kritēriju struktūra un izstrāde”</w:t>
            </w:r>
          </w:p>
          <w:p w14:paraId="3B067136" w14:textId="77777777" w:rsidR="00AD4BB1" w:rsidRPr="0097713D" w:rsidRDefault="00AD4BB1" w:rsidP="0097713D">
            <w:pPr>
              <w:jc w:val="both"/>
              <w:rPr>
                <w:rFonts w:cs="Times New Roman"/>
                <w:b/>
                <w:bCs/>
                <w:sz w:val="20"/>
                <w:szCs w:val="20"/>
              </w:rPr>
            </w:pPr>
            <w:r w:rsidRPr="0097713D">
              <w:rPr>
                <w:rFonts w:cs="Times New Roman"/>
                <w:b/>
                <w:bCs/>
                <w:sz w:val="20"/>
                <w:szCs w:val="20"/>
              </w:rPr>
              <w:t>5.punkts</w:t>
            </w:r>
          </w:p>
          <w:p w14:paraId="01320607" w14:textId="77777777" w:rsidR="00AD4BB1" w:rsidRPr="0097713D" w:rsidRDefault="00AD4BB1" w:rsidP="0097713D">
            <w:pPr>
              <w:jc w:val="both"/>
              <w:rPr>
                <w:rFonts w:cs="Times New Roman"/>
                <w:sz w:val="20"/>
                <w:szCs w:val="20"/>
              </w:rPr>
            </w:pPr>
            <w:r w:rsidRPr="0097713D">
              <w:rPr>
                <w:rFonts w:cs="Times New Roman"/>
                <w:sz w:val="20"/>
                <w:szCs w:val="20"/>
              </w:rPr>
              <w:t>Nolūkā nodrošināt vienotu pieeju, vērtējot projekta iesniedzēja atbilstību projekta īstenošanai, ES fondu vadības likuma 22.pantā definēti izslēgšanas noteikumi, kas piemērojami visiem projektu iesniedzējiem, kuri ir fiziskas personas un privāto tiesību juridiskas personas.</w:t>
            </w:r>
          </w:p>
          <w:p w14:paraId="53047EB2" w14:textId="77777777" w:rsidR="00AD4BB1" w:rsidRPr="0097713D" w:rsidRDefault="00AD4BB1" w:rsidP="0097713D">
            <w:pPr>
              <w:jc w:val="both"/>
              <w:rPr>
                <w:rFonts w:cs="Times New Roman"/>
                <w:b/>
                <w:bCs/>
                <w:sz w:val="20"/>
                <w:szCs w:val="20"/>
              </w:rPr>
            </w:pPr>
            <w:r w:rsidRPr="0097713D">
              <w:rPr>
                <w:rFonts w:cs="Times New Roman"/>
                <w:b/>
                <w:bCs/>
                <w:sz w:val="20"/>
                <w:szCs w:val="20"/>
              </w:rPr>
              <w:t>2.1.sadaļa “Atklāta projektu iesniegumu atlase”</w:t>
            </w:r>
          </w:p>
          <w:p w14:paraId="6E7D4BE7" w14:textId="77777777" w:rsidR="00AD4BB1" w:rsidRPr="0097713D" w:rsidRDefault="00AD4BB1" w:rsidP="0097713D">
            <w:pPr>
              <w:jc w:val="both"/>
              <w:rPr>
                <w:rFonts w:cs="Times New Roman"/>
                <w:b/>
                <w:bCs/>
                <w:sz w:val="20"/>
                <w:szCs w:val="20"/>
              </w:rPr>
            </w:pPr>
            <w:r w:rsidRPr="0097713D">
              <w:rPr>
                <w:rFonts w:cs="Times New Roman"/>
                <w:b/>
                <w:bCs/>
                <w:sz w:val="20"/>
                <w:szCs w:val="20"/>
              </w:rPr>
              <w:t>38.punkts</w:t>
            </w:r>
          </w:p>
          <w:p w14:paraId="57D5C392" w14:textId="77777777" w:rsidR="00AD4BB1" w:rsidRPr="0097713D" w:rsidRDefault="00AD4BB1" w:rsidP="0097713D">
            <w:pPr>
              <w:jc w:val="both"/>
              <w:rPr>
                <w:rFonts w:cs="Times New Roman"/>
                <w:sz w:val="20"/>
                <w:szCs w:val="20"/>
              </w:rPr>
            </w:pPr>
            <w:r w:rsidRPr="0097713D">
              <w:rPr>
                <w:rFonts w:cs="Times New Roman"/>
                <w:sz w:val="20"/>
                <w:szCs w:val="20"/>
              </w:rPr>
              <w:t>Apstiprināti tiek tie ES fondu projektu iesniegumi:</w:t>
            </w:r>
          </w:p>
          <w:p w14:paraId="3EBC8C2F" w14:textId="77777777" w:rsidR="00AD4BB1" w:rsidRPr="0097713D" w:rsidRDefault="00AD4BB1" w:rsidP="0097713D">
            <w:pPr>
              <w:numPr>
                <w:ilvl w:val="0"/>
                <w:numId w:val="9"/>
              </w:numPr>
              <w:autoSpaceDE w:val="0"/>
              <w:autoSpaceDN w:val="0"/>
              <w:ind w:left="458"/>
              <w:jc w:val="both"/>
              <w:rPr>
                <w:rFonts w:cs="Times New Roman"/>
                <w:sz w:val="20"/>
                <w:szCs w:val="20"/>
              </w:rPr>
            </w:pPr>
            <w:r w:rsidRPr="0097713D">
              <w:rPr>
                <w:rFonts w:cs="Times New Roman"/>
                <w:sz w:val="20"/>
                <w:szCs w:val="20"/>
              </w:rPr>
              <w:t xml:space="preserve">kuru </w:t>
            </w:r>
            <w:r w:rsidRPr="0097713D">
              <w:rPr>
                <w:rFonts w:cs="Times New Roman"/>
                <w:sz w:val="20"/>
                <w:szCs w:val="20"/>
                <w:lang w:eastAsia="lv-LV"/>
              </w:rPr>
              <w:t>projekta</w:t>
            </w:r>
            <w:r w:rsidRPr="0097713D">
              <w:rPr>
                <w:rFonts w:cs="Times New Roman"/>
                <w:sz w:val="20"/>
                <w:szCs w:val="20"/>
              </w:rPr>
              <w:t xml:space="preserve"> iesniedzēji (fiziskas vai juridiskas personas)</w:t>
            </w:r>
            <w:r w:rsidRPr="0097713D">
              <w:rPr>
                <w:rStyle w:val="FootnoteReference"/>
                <w:rFonts w:cs="Times New Roman"/>
                <w:sz w:val="20"/>
                <w:szCs w:val="20"/>
              </w:rPr>
              <w:footnoteReference w:id="2"/>
            </w:r>
            <w:r w:rsidRPr="0097713D">
              <w:rPr>
                <w:rFonts w:cs="Times New Roman"/>
                <w:sz w:val="20"/>
                <w:szCs w:val="20"/>
              </w:rPr>
              <w:t xml:space="preserve"> neatbilst nevienam no izslēgšanas noteikumiem vai projektu iesniedzēji (tiešās vai pastarpinātās pārvaldes iestāde, atvasināta publiska persona, cita valsts iestāde)</w:t>
            </w:r>
            <w:r w:rsidRPr="0097713D">
              <w:rPr>
                <w:rStyle w:val="FootnoteReference"/>
                <w:rFonts w:cs="Times New Roman"/>
                <w:sz w:val="20"/>
                <w:szCs w:val="20"/>
              </w:rPr>
              <w:footnoteReference w:id="3"/>
            </w:r>
            <w:r w:rsidRPr="0097713D">
              <w:rPr>
                <w:rFonts w:cs="Times New Roman"/>
                <w:sz w:val="20"/>
                <w:szCs w:val="20"/>
              </w:rPr>
              <w:t>, uz kuriem neattiecas izslēgšanas noteikumi un,</w:t>
            </w:r>
          </w:p>
          <w:p w14:paraId="625AC03D" w14:textId="77777777" w:rsidR="00AD4BB1" w:rsidRPr="0097713D" w:rsidRDefault="00AD4BB1" w:rsidP="0097713D">
            <w:pPr>
              <w:numPr>
                <w:ilvl w:val="0"/>
                <w:numId w:val="9"/>
              </w:numPr>
              <w:autoSpaceDE w:val="0"/>
              <w:autoSpaceDN w:val="0"/>
              <w:ind w:left="458"/>
              <w:jc w:val="both"/>
              <w:rPr>
                <w:rFonts w:cs="Times New Roman"/>
                <w:b/>
                <w:bCs/>
                <w:sz w:val="20"/>
                <w:szCs w:val="20"/>
              </w:rPr>
            </w:pPr>
            <w:r w:rsidRPr="0097713D">
              <w:rPr>
                <w:rFonts w:cs="Times New Roman"/>
                <w:sz w:val="20"/>
                <w:szCs w:val="20"/>
              </w:rPr>
              <w:t xml:space="preserve">kas </w:t>
            </w:r>
            <w:r w:rsidRPr="0097713D">
              <w:rPr>
                <w:rFonts w:cs="Times New Roman"/>
                <w:sz w:val="20"/>
                <w:szCs w:val="20"/>
                <w:lang w:eastAsia="lv-LV"/>
              </w:rPr>
              <w:t>atbilst</w:t>
            </w:r>
            <w:r w:rsidRPr="0097713D">
              <w:rPr>
                <w:rFonts w:cs="Times New Roman"/>
                <w:sz w:val="20"/>
                <w:szCs w:val="20"/>
              </w:rPr>
              <w:t xml:space="preserve"> visiem vienotajiem kritērijiem, tai skaitā vienotajiem izvēles kritērijiem, specifiskajiem atbilstības kritērijiem, un atbilstoši kvalitātes kritērijiem saņem pietiekamu vērtējumu, lai kvalificētos atbalsta saņemšanai, un, pirms pirmreizējā lēmuma par projekta </w:t>
            </w:r>
            <w:r w:rsidRPr="0097713D">
              <w:rPr>
                <w:rFonts w:cs="Times New Roman"/>
                <w:sz w:val="20"/>
                <w:szCs w:val="20"/>
              </w:rPr>
              <w:lastRenderedPageBreak/>
              <w:t xml:space="preserve">iesniegumu, sarindojot projektus atbilstoši saņemtajiem punktiem dilstošā secībā, tiem ir pietiekams finansējums, kā arī tie ir izpildījuši visus lēmumā par projekta iesnieguma apstiprināšanu ar nosacījumiem izteiktos nosacījumus (ja attiecināms). </w:t>
            </w:r>
          </w:p>
        </w:tc>
        <w:tc>
          <w:tcPr>
            <w:tcW w:w="4820" w:type="dxa"/>
            <w:shd w:val="clear" w:color="auto" w:fill="auto"/>
          </w:tcPr>
          <w:p w14:paraId="4E8DC3D8" w14:textId="77777777" w:rsidR="00AD4BB1" w:rsidRPr="0097713D" w:rsidRDefault="00AD4BB1" w:rsidP="0097713D">
            <w:pPr>
              <w:jc w:val="both"/>
              <w:rPr>
                <w:rFonts w:cs="Times New Roman"/>
                <w:b/>
                <w:bCs/>
                <w:sz w:val="20"/>
                <w:szCs w:val="20"/>
              </w:rPr>
            </w:pPr>
            <w:r w:rsidRPr="0097713D">
              <w:rPr>
                <w:rFonts w:cs="Times New Roman"/>
                <w:b/>
                <w:bCs/>
                <w:sz w:val="20"/>
                <w:szCs w:val="20"/>
              </w:rPr>
              <w:lastRenderedPageBreak/>
              <w:t>Vides aizsardzības un reģionālās attīstības ministrija</w:t>
            </w:r>
          </w:p>
          <w:p w14:paraId="2F9F0D96" w14:textId="77777777" w:rsidR="00AD4BB1" w:rsidRPr="0097713D" w:rsidRDefault="00AD4BB1" w:rsidP="0097713D">
            <w:pPr>
              <w:jc w:val="both"/>
              <w:rPr>
                <w:rFonts w:cs="Times New Roman"/>
                <w:sz w:val="20"/>
                <w:szCs w:val="20"/>
              </w:rPr>
            </w:pPr>
            <w:r w:rsidRPr="0097713D">
              <w:rPr>
                <w:rFonts w:cs="Times New Roman"/>
                <w:sz w:val="20"/>
                <w:szCs w:val="20"/>
              </w:rPr>
              <w:t>Lūdzam saskaņot juridisko terminoloģiju atlases metodikas 5. un 38. punktā, jo 5.punktā rakstīts, ka izslēgšanas noteikumi tiek piemēroti privāto tiesību juridiskām personām, bet 38.1) punktā, ka izslēgšanas noteikumi tiek piemēroti juridiskām personām.</w:t>
            </w:r>
          </w:p>
        </w:tc>
        <w:tc>
          <w:tcPr>
            <w:tcW w:w="3827" w:type="dxa"/>
            <w:shd w:val="clear" w:color="auto" w:fill="auto"/>
          </w:tcPr>
          <w:p w14:paraId="133132F5" w14:textId="77777777" w:rsidR="00AD4BB1" w:rsidRPr="00534928" w:rsidRDefault="00534928" w:rsidP="0097713D">
            <w:pPr>
              <w:jc w:val="both"/>
              <w:rPr>
                <w:rFonts w:cs="Times New Roman"/>
                <w:b/>
                <w:sz w:val="20"/>
                <w:szCs w:val="20"/>
              </w:rPr>
            </w:pPr>
            <w:r w:rsidRPr="00534928">
              <w:rPr>
                <w:rFonts w:cs="Times New Roman"/>
                <w:b/>
                <w:sz w:val="20"/>
                <w:szCs w:val="20"/>
              </w:rPr>
              <w:t>Ņemts vērā.</w:t>
            </w:r>
          </w:p>
          <w:p w14:paraId="03D8FE59" w14:textId="3B70696F" w:rsidR="00534928" w:rsidRPr="00534928" w:rsidRDefault="00534928" w:rsidP="0097713D">
            <w:pPr>
              <w:jc w:val="both"/>
              <w:rPr>
                <w:rFonts w:cs="Times New Roman"/>
                <w:bCs/>
                <w:sz w:val="20"/>
                <w:szCs w:val="20"/>
                <w:highlight w:val="green"/>
              </w:rPr>
            </w:pPr>
            <w:r w:rsidRPr="00534928">
              <w:rPr>
                <w:rFonts w:cs="Times New Roman"/>
                <w:bCs/>
                <w:sz w:val="20"/>
                <w:szCs w:val="20"/>
              </w:rPr>
              <w:t>Redakcija salāgota ar 5.puntku.</w:t>
            </w:r>
          </w:p>
        </w:tc>
      </w:tr>
      <w:tr w:rsidR="00AD4BB1" w:rsidRPr="0097713D" w14:paraId="66926D0D" w14:textId="77777777" w:rsidTr="009F1082">
        <w:trPr>
          <w:trHeight w:val="85"/>
        </w:trPr>
        <w:tc>
          <w:tcPr>
            <w:tcW w:w="562" w:type="dxa"/>
            <w:shd w:val="clear" w:color="auto" w:fill="auto"/>
          </w:tcPr>
          <w:p w14:paraId="0E800B7C"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61453DB5" w14:textId="77777777" w:rsidR="00AD4BB1" w:rsidRPr="0097713D" w:rsidRDefault="00AD4BB1" w:rsidP="0097713D">
            <w:pPr>
              <w:jc w:val="both"/>
              <w:rPr>
                <w:rFonts w:cs="Times New Roman"/>
                <w:b/>
                <w:bCs/>
                <w:sz w:val="20"/>
                <w:szCs w:val="20"/>
              </w:rPr>
            </w:pPr>
            <w:r w:rsidRPr="0097713D">
              <w:rPr>
                <w:rFonts w:cs="Times New Roman"/>
                <w:b/>
                <w:bCs/>
                <w:sz w:val="20"/>
                <w:szCs w:val="20"/>
              </w:rPr>
              <w:t>1.sadaļa “Projektu iesniegumu vērtēšanas kritēriju struktūra un izstrāde”</w:t>
            </w:r>
          </w:p>
          <w:p w14:paraId="385D224B" w14:textId="77777777" w:rsidR="00AD4BB1" w:rsidRPr="0097713D" w:rsidRDefault="00AD4BB1" w:rsidP="0097713D">
            <w:pPr>
              <w:jc w:val="both"/>
              <w:rPr>
                <w:rFonts w:cs="Times New Roman"/>
                <w:b/>
                <w:bCs/>
                <w:sz w:val="20"/>
                <w:szCs w:val="20"/>
              </w:rPr>
            </w:pPr>
            <w:r w:rsidRPr="0097713D">
              <w:rPr>
                <w:rFonts w:cs="Times New Roman"/>
                <w:b/>
                <w:bCs/>
                <w:sz w:val="20"/>
                <w:szCs w:val="20"/>
              </w:rPr>
              <w:t>18.punkts.</w:t>
            </w:r>
          </w:p>
          <w:p w14:paraId="67F97368" w14:textId="77777777" w:rsidR="00AD4BB1" w:rsidRPr="0097713D" w:rsidRDefault="00AD4BB1" w:rsidP="0097713D">
            <w:pPr>
              <w:jc w:val="both"/>
              <w:rPr>
                <w:rFonts w:cs="Times New Roman"/>
                <w:b/>
                <w:bCs/>
                <w:sz w:val="20"/>
                <w:szCs w:val="20"/>
              </w:rPr>
            </w:pPr>
            <w:r w:rsidRPr="0097713D">
              <w:rPr>
                <w:rFonts w:cs="Times New Roman"/>
                <w:sz w:val="20"/>
                <w:szCs w:val="20"/>
              </w:rPr>
              <w:t xml:space="preserve">Vienotie kritēriji un to piemērošanas skaidrojumi, kas iekļauti šīs metodikas 2.pielikumā, tiek ietverti </w:t>
            </w:r>
            <w:r w:rsidRPr="0097713D">
              <w:rPr>
                <w:rFonts w:cs="Times New Roman"/>
                <w:sz w:val="20"/>
                <w:szCs w:val="20"/>
                <w:u w:val="single"/>
              </w:rPr>
              <w:t>visos atlašu nolikumos</w:t>
            </w:r>
            <w:r w:rsidRPr="0097713D">
              <w:rPr>
                <w:rFonts w:cs="Times New Roman"/>
                <w:sz w:val="20"/>
                <w:szCs w:val="20"/>
              </w:rPr>
              <w:t xml:space="preserve"> par projektu iesniegumu atlasēm. Vienotie izvēles kritēriji un to piemērošanas skaidrojumi, kas iekļauti šīs metodikas 3.pielikumā, tiek ietverti atlases nolikumā, ja MK noteikumos par SAM īstenošanu ir iekļauti attiecīgi nosacījumi.  </w:t>
            </w:r>
            <w:r w:rsidRPr="0097713D">
              <w:rPr>
                <w:rFonts w:cs="Times New Roman"/>
                <w:sz w:val="20"/>
                <w:szCs w:val="20"/>
                <w:u w:val="single"/>
              </w:rPr>
              <w:t>Vienotie kritēriji, vienotie</w:t>
            </w:r>
            <w:r w:rsidRPr="0097713D">
              <w:rPr>
                <w:rFonts w:cs="Times New Roman"/>
                <w:b/>
                <w:bCs/>
                <w:sz w:val="20"/>
                <w:szCs w:val="20"/>
                <w:u w:val="single"/>
              </w:rPr>
              <w:t xml:space="preserve"> </w:t>
            </w:r>
            <w:r w:rsidRPr="0097713D">
              <w:rPr>
                <w:rFonts w:cs="Times New Roman"/>
                <w:sz w:val="20"/>
                <w:szCs w:val="20"/>
                <w:u w:val="single"/>
              </w:rPr>
              <w:t>izvēles kritēriji un to piemērošanas skaidrojumi (ja attiecināms</w:t>
            </w:r>
            <w:r w:rsidRPr="0097713D">
              <w:rPr>
                <w:rStyle w:val="FootnoteReference"/>
                <w:rFonts w:cs="Times New Roman"/>
                <w:sz w:val="20"/>
                <w:szCs w:val="20"/>
                <w:u w:val="single"/>
              </w:rPr>
              <w:footnoteReference w:id="4"/>
            </w:r>
            <w:r w:rsidRPr="0097713D">
              <w:rPr>
                <w:rFonts w:cs="Times New Roman"/>
                <w:sz w:val="20"/>
                <w:szCs w:val="20"/>
                <w:u w:val="single"/>
              </w:rPr>
              <w:t>) nav maināmi vai precizējami nolikumu izstrādes un saskaņošanas ietvaros</w:t>
            </w:r>
            <w:r w:rsidRPr="0097713D">
              <w:rPr>
                <w:rFonts w:cs="Times New Roman"/>
                <w:sz w:val="20"/>
                <w:szCs w:val="20"/>
              </w:rPr>
              <w:t>, lai nodrošinātu vienotu pieeju un attieksmi pret visiem projektu iesniedzējiem ES fondu projektu iesniegumu atlasēs.</w:t>
            </w:r>
          </w:p>
        </w:tc>
        <w:tc>
          <w:tcPr>
            <w:tcW w:w="4820" w:type="dxa"/>
            <w:shd w:val="clear" w:color="auto" w:fill="auto"/>
          </w:tcPr>
          <w:p w14:paraId="67CD46A7" w14:textId="77777777" w:rsidR="00AD4BB1" w:rsidRPr="0097713D" w:rsidRDefault="00AD4BB1" w:rsidP="0097713D">
            <w:pPr>
              <w:jc w:val="both"/>
              <w:rPr>
                <w:rFonts w:cs="Times New Roman"/>
                <w:b/>
                <w:bCs/>
                <w:sz w:val="20"/>
                <w:szCs w:val="20"/>
              </w:rPr>
            </w:pPr>
            <w:r w:rsidRPr="0097713D">
              <w:rPr>
                <w:rFonts w:cs="Times New Roman"/>
                <w:b/>
                <w:bCs/>
                <w:sz w:val="20"/>
                <w:szCs w:val="20"/>
              </w:rPr>
              <w:t>Labklājības ministrija</w:t>
            </w:r>
          </w:p>
          <w:p w14:paraId="491C67C2" w14:textId="77777777" w:rsidR="00AD4BB1" w:rsidRPr="0097713D" w:rsidRDefault="00AD4BB1" w:rsidP="0097713D">
            <w:pPr>
              <w:jc w:val="both"/>
              <w:rPr>
                <w:rFonts w:cs="Times New Roman"/>
                <w:sz w:val="20"/>
                <w:szCs w:val="20"/>
              </w:rPr>
            </w:pPr>
            <w:r w:rsidRPr="0097713D">
              <w:rPr>
                <w:rFonts w:cs="Times New Roman"/>
                <w:sz w:val="20"/>
                <w:szCs w:val="20"/>
              </w:rPr>
              <w:t>Vēlreiz vēlamies vērst uzmanību uz teikuma daļu “Vienotie kritēriji, vienotie izvēles kritēriji un to piemērošanas skaidrojumi (ja attiecināms) nav maināmi vai precizējami nolikumu izstrādes un saskaņošanas ietvaros”. Vienīgais process, kura laikā šo saredzam, ir tieši nolikumu izstrāde. Atlases laikā nav labā prakse mainīt atlases nolikumu. Lūdzam skaidrot, kā ir domāts, kad var mainīt un precizēt kritērijus un to piemērošanas skaidrojumu, ja ne nolikuma izstrādes un saskaņošanas starp AI/SI/VI gaitā. Piemēram, VI, izskatot nolikumu, sniegs komentāru, ka kritērija skaidrojumu nepieciešams papildināt ar to un to, bet SI nebūs to tiesīga darīt, ņemot vērā šobrīd metodikā noteikto.</w:t>
            </w:r>
          </w:p>
        </w:tc>
        <w:tc>
          <w:tcPr>
            <w:tcW w:w="3827" w:type="dxa"/>
            <w:shd w:val="clear" w:color="auto" w:fill="auto"/>
          </w:tcPr>
          <w:p w14:paraId="6AB39018" w14:textId="77777777" w:rsidR="00AD4BB1" w:rsidRPr="0097713D" w:rsidRDefault="00AD4BB1" w:rsidP="0097713D">
            <w:pPr>
              <w:jc w:val="both"/>
              <w:rPr>
                <w:rFonts w:cs="Times New Roman"/>
                <w:b/>
                <w:sz w:val="20"/>
                <w:szCs w:val="20"/>
              </w:rPr>
            </w:pPr>
            <w:r w:rsidRPr="0097713D">
              <w:rPr>
                <w:rFonts w:cs="Times New Roman"/>
                <w:b/>
                <w:sz w:val="20"/>
                <w:szCs w:val="20"/>
              </w:rPr>
              <w:t>Nav ņemts vērā. Sniegts skaidrojums.</w:t>
            </w:r>
          </w:p>
          <w:p w14:paraId="05ABE87A" w14:textId="4060ACBC" w:rsidR="00AD4BB1" w:rsidRPr="0097713D" w:rsidRDefault="00AD4BB1" w:rsidP="0097713D">
            <w:pPr>
              <w:jc w:val="both"/>
              <w:rPr>
                <w:rFonts w:cs="Times New Roman"/>
                <w:bCs/>
                <w:sz w:val="20"/>
                <w:szCs w:val="20"/>
              </w:rPr>
            </w:pPr>
            <w:r w:rsidRPr="0097713D">
              <w:rPr>
                <w:rFonts w:cs="Times New Roman"/>
                <w:bCs/>
                <w:sz w:val="20"/>
                <w:szCs w:val="20"/>
              </w:rPr>
              <w:t>Atkārtoti skaidrojam, ka vienotie kritēriju, to vienotie piemērošanas skaidrojumi, vienotie izvēles kritēriji, to vienotie piemērošanas skaidrojumi nav precizējami</w:t>
            </w:r>
            <w:r w:rsidR="00A46BAB">
              <w:rPr>
                <w:rFonts w:cs="Times New Roman"/>
                <w:bCs/>
                <w:sz w:val="20"/>
                <w:szCs w:val="20"/>
              </w:rPr>
              <w:t xml:space="preserve"> ne</w:t>
            </w:r>
            <w:r w:rsidRPr="0097713D">
              <w:rPr>
                <w:rFonts w:cs="Times New Roman"/>
                <w:bCs/>
                <w:sz w:val="20"/>
                <w:szCs w:val="20"/>
              </w:rPr>
              <w:t xml:space="preserve"> nolikuma izstrādes ietvaros</w:t>
            </w:r>
            <w:r w:rsidR="00A46BAB">
              <w:rPr>
                <w:rFonts w:cs="Times New Roman"/>
                <w:bCs/>
                <w:sz w:val="20"/>
                <w:szCs w:val="20"/>
              </w:rPr>
              <w:t>, ne projektu iesniegumu atlases norises laikā</w:t>
            </w:r>
            <w:r w:rsidRPr="0097713D">
              <w:rPr>
                <w:rFonts w:cs="Times New Roman"/>
                <w:bCs/>
                <w:sz w:val="20"/>
                <w:szCs w:val="20"/>
              </w:rPr>
              <w:t>. Izmaiņas ir iespējamas tikai grozot šo vienoto atlases metodiku attiecīgus grozījumus apstiprinot Uzraudzības komitejā.</w:t>
            </w:r>
          </w:p>
          <w:p w14:paraId="2F02382F" w14:textId="77777777" w:rsidR="00AD4BB1" w:rsidRPr="0097713D" w:rsidRDefault="00AD4BB1" w:rsidP="0097713D">
            <w:pPr>
              <w:jc w:val="both"/>
              <w:rPr>
                <w:rFonts w:cs="Times New Roman"/>
                <w:bCs/>
                <w:sz w:val="20"/>
                <w:szCs w:val="20"/>
              </w:rPr>
            </w:pPr>
            <w:r w:rsidRPr="0097713D">
              <w:rPr>
                <w:rFonts w:cs="Times New Roman"/>
                <w:bCs/>
                <w:sz w:val="20"/>
                <w:szCs w:val="20"/>
              </w:rPr>
              <w:t>Vēršam uzmanību, ka šāda pieeja samazinās administratīvo slogu, gan CFLA, gan atbildīgajām iestādēm, gan vērtēšanas komisijai un tiks nodrošināta vienota un vienlīdzīga pieeja visās atlasēs projektu iesniegumu vērtēšanas procesa ietvaros.</w:t>
            </w:r>
          </w:p>
          <w:p w14:paraId="03322ED5" w14:textId="77777777" w:rsidR="00AD4BB1" w:rsidRPr="0097713D" w:rsidRDefault="00AD4BB1" w:rsidP="0097713D">
            <w:pPr>
              <w:jc w:val="both"/>
              <w:rPr>
                <w:rFonts w:cs="Times New Roman"/>
                <w:bCs/>
                <w:sz w:val="20"/>
                <w:szCs w:val="20"/>
              </w:rPr>
            </w:pPr>
            <w:r w:rsidRPr="0097713D">
              <w:rPr>
                <w:rFonts w:cs="Times New Roman"/>
                <w:bCs/>
                <w:sz w:val="20"/>
                <w:szCs w:val="20"/>
              </w:rPr>
              <w:t>Atbildot uz jautājumu – vadošā iestāde, izskatot nolikumu, nesniegs komentārus par vienotajiem kritērijiem, to vienotajiem piemērošanas skaidrojumiem, vienotajiem izvēles kritērijiem, to vienotajiem piemērošanas skaidrojumiem.</w:t>
            </w:r>
          </w:p>
          <w:p w14:paraId="781F5F28" w14:textId="0FBA66F7" w:rsidR="00AD4BB1" w:rsidRPr="0097713D" w:rsidRDefault="00AD4BB1" w:rsidP="0097713D">
            <w:pPr>
              <w:jc w:val="both"/>
              <w:rPr>
                <w:rFonts w:cs="Times New Roman"/>
                <w:bCs/>
                <w:sz w:val="20"/>
                <w:szCs w:val="20"/>
                <w:highlight w:val="green"/>
              </w:rPr>
            </w:pPr>
            <w:r w:rsidRPr="0097713D">
              <w:rPr>
                <w:rFonts w:cs="Times New Roman"/>
                <w:bCs/>
                <w:sz w:val="20"/>
                <w:szCs w:val="20"/>
              </w:rPr>
              <w:t>Atkārtoti skaidrojam, ka nolikuma izstrādes ietvaros būs iespējams precizēt tos vienoto kritēriju un vienoto izvēles kritēriju piemērošanas skaidrojumus, kuri nav iekļaut</w:t>
            </w:r>
            <w:r w:rsidR="00A4422D">
              <w:rPr>
                <w:rFonts w:cs="Times New Roman"/>
                <w:bCs/>
                <w:sz w:val="20"/>
                <w:szCs w:val="20"/>
              </w:rPr>
              <w:t>i</w:t>
            </w:r>
            <w:r w:rsidRPr="0097713D">
              <w:rPr>
                <w:rFonts w:cs="Times New Roman"/>
                <w:bCs/>
                <w:sz w:val="20"/>
                <w:szCs w:val="20"/>
              </w:rPr>
              <w:t xml:space="preserve"> šīs metodikas 2. un 3.pielikumā, kurus atbildīgajai iestādei jāizstrādā, ņemot vērā šīs metodikas 4.pielikumā noteiktās minimālās prasības un labās prakses piemērus.</w:t>
            </w:r>
          </w:p>
        </w:tc>
      </w:tr>
      <w:tr w:rsidR="00AD4BB1" w:rsidRPr="0097713D" w14:paraId="6C27C00F" w14:textId="77777777" w:rsidTr="009F1082">
        <w:trPr>
          <w:trHeight w:val="85"/>
        </w:trPr>
        <w:tc>
          <w:tcPr>
            <w:tcW w:w="562" w:type="dxa"/>
            <w:shd w:val="clear" w:color="auto" w:fill="auto"/>
          </w:tcPr>
          <w:p w14:paraId="1A6E7EBD"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1C00EB89" w14:textId="77777777" w:rsidR="00AD4BB1" w:rsidRPr="0097713D" w:rsidRDefault="00AD4BB1" w:rsidP="0097713D">
            <w:pPr>
              <w:jc w:val="both"/>
              <w:rPr>
                <w:rFonts w:cs="Times New Roman"/>
                <w:b/>
                <w:bCs/>
                <w:sz w:val="20"/>
                <w:szCs w:val="20"/>
              </w:rPr>
            </w:pPr>
            <w:r w:rsidRPr="0097713D">
              <w:rPr>
                <w:rFonts w:cs="Times New Roman"/>
                <w:b/>
                <w:bCs/>
                <w:sz w:val="20"/>
                <w:szCs w:val="20"/>
              </w:rPr>
              <w:t>1.sadaļa “Projektu iesniegumu vērtēšanas kritēriju struktūra un izstrāde”</w:t>
            </w:r>
          </w:p>
          <w:p w14:paraId="6A589632" w14:textId="77777777" w:rsidR="00AD4BB1" w:rsidRPr="0097713D" w:rsidRDefault="00AD4BB1" w:rsidP="0097713D">
            <w:pPr>
              <w:jc w:val="both"/>
              <w:rPr>
                <w:rFonts w:cs="Times New Roman"/>
                <w:b/>
                <w:bCs/>
                <w:sz w:val="20"/>
                <w:szCs w:val="20"/>
              </w:rPr>
            </w:pPr>
            <w:r w:rsidRPr="0097713D">
              <w:rPr>
                <w:rFonts w:cs="Times New Roman"/>
                <w:b/>
                <w:bCs/>
                <w:sz w:val="20"/>
                <w:szCs w:val="20"/>
              </w:rPr>
              <w:t>20.punkts.</w:t>
            </w:r>
          </w:p>
          <w:p w14:paraId="4C6CD53E" w14:textId="18CB3DB4" w:rsidR="00AD4BB1" w:rsidRPr="0097713D" w:rsidRDefault="00AD4BB1" w:rsidP="0097713D">
            <w:pPr>
              <w:jc w:val="both"/>
              <w:rPr>
                <w:rFonts w:cs="Times New Roman"/>
                <w:b/>
                <w:bCs/>
                <w:sz w:val="20"/>
                <w:szCs w:val="20"/>
              </w:rPr>
            </w:pPr>
            <w:r w:rsidRPr="0097713D">
              <w:rPr>
                <w:rFonts w:cs="Times New Roman"/>
                <w:sz w:val="20"/>
                <w:szCs w:val="20"/>
              </w:rPr>
              <w:lastRenderedPageBreak/>
              <w:t xml:space="preserve">Papildus šīs metodikas 15. un 16.punktā minētajiem dokumentiem, atbildīgā iestāde  informatīvos nolūkos virza attiecīgā politikas mērķa AK MK noteikumu projektu par SAM īstenošanu un tā sākotnējās ietekmes novērtējumu (turpmāk – anotācija). </w:t>
            </w:r>
          </w:p>
        </w:tc>
        <w:tc>
          <w:tcPr>
            <w:tcW w:w="4820" w:type="dxa"/>
            <w:shd w:val="clear" w:color="auto" w:fill="auto"/>
          </w:tcPr>
          <w:p w14:paraId="063D8BE3" w14:textId="77777777" w:rsidR="00AD4BB1" w:rsidRPr="0097713D" w:rsidRDefault="00AD4BB1" w:rsidP="0097713D">
            <w:pPr>
              <w:jc w:val="both"/>
              <w:rPr>
                <w:rFonts w:cs="Times New Roman"/>
                <w:b/>
                <w:bCs/>
                <w:sz w:val="20"/>
                <w:szCs w:val="20"/>
              </w:rPr>
            </w:pPr>
            <w:r w:rsidRPr="0097713D">
              <w:rPr>
                <w:rFonts w:cs="Times New Roman"/>
                <w:b/>
                <w:bCs/>
                <w:sz w:val="20"/>
                <w:szCs w:val="20"/>
              </w:rPr>
              <w:lastRenderedPageBreak/>
              <w:t>Labklājības ministrija.</w:t>
            </w:r>
          </w:p>
          <w:p w14:paraId="022C2736" w14:textId="77777777" w:rsidR="00AD4BB1" w:rsidRPr="0097713D" w:rsidRDefault="00AD4BB1" w:rsidP="0097713D">
            <w:pPr>
              <w:jc w:val="both"/>
              <w:rPr>
                <w:rFonts w:cs="Times New Roman"/>
                <w:sz w:val="20"/>
                <w:szCs w:val="20"/>
              </w:rPr>
            </w:pPr>
            <w:r w:rsidRPr="0097713D">
              <w:rPr>
                <w:rFonts w:cs="Times New Roman"/>
                <w:sz w:val="20"/>
                <w:szCs w:val="20"/>
              </w:rPr>
              <w:t>Lūdzam aizstāt “virza” ar “iesniedz”.</w:t>
            </w:r>
          </w:p>
        </w:tc>
        <w:tc>
          <w:tcPr>
            <w:tcW w:w="3827" w:type="dxa"/>
            <w:shd w:val="clear" w:color="auto" w:fill="auto"/>
          </w:tcPr>
          <w:p w14:paraId="72E8E861"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3FF73AB4" w14:textId="77777777" w:rsidTr="009F1082">
        <w:trPr>
          <w:trHeight w:val="85"/>
        </w:trPr>
        <w:tc>
          <w:tcPr>
            <w:tcW w:w="562" w:type="dxa"/>
            <w:shd w:val="clear" w:color="auto" w:fill="auto"/>
          </w:tcPr>
          <w:p w14:paraId="4BFFE2BB"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32A9ED56" w14:textId="77777777" w:rsidR="00AD4BB1" w:rsidRPr="0097713D" w:rsidRDefault="00AD4BB1" w:rsidP="0097713D">
            <w:pPr>
              <w:jc w:val="both"/>
              <w:rPr>
                <w:rFonts w:cs="Times New Roman"/>
                <w:b/>
                <w:bCs/>
                <w:sz w:val="20"/>
                <w:szCs w:val="20"/>
              </w:rPr>
            </w:pPr>
            <w:r w:rsidRPr="0097713D">
              <w:rPr>
                <w:rFonts w:cs="Times New Roman"/>
                <w:b/>
                <w:bCs/>
                <w:sz w:val="20"/>
                <w:szCs w:val="20"/>
              </w:rPr>
              <w:t>2.1.sadaļa “Atklāta projektu iesniegumu atlase”</w:t>
            </w:r>
          </w:p>
          <w:p w14:paraId="3C02C812" w14:textId="77777777" w:rsidR="00AD4BB1" w:rsidRPr="0097713D" w:rsidRDefault="00AD4BB1" w:rsidP="0097713D">
            <w:pPr>
              <w:jc w:val="both"/>
              <w:rPr>
                <w:rFonts w:cs="Times New Roman"/>
                <w:b/>
                <w:bCs/>
                <w:sz w:val="20"/>
                <w:szCs w:val="20"/>
              </w:rPr>
            </w:pPr>
            <w:r w:rsidRPr="0097713D">
              <w:rPr>
                <w:rFonts w:cs="Times New Roman"/>
                <w:b/>
                <w:bCs/>
                <w:sz w:val="20"/>
                <w:szCs w:val="20"/>
              </w:rPr>
              <w:t>38.punkts</w:t>
            </w:r>
          </w:p>
          <w:p w14:paraId="51C22D7C" w14:textId="77777777" w:rsidR="00AD4BB1" w:rsidRPr="0097713D" w:rsidRDefault="00AD4BB1" w:rsidP="0097713D">
            <w:pPr>
              <w:jc w:val="both"/>
              <w:rPr>
                <w:rFonts w:cs="Times New Roman"/>
                <w:sz w:val="20"/>
                <w:szCs w:val="20"/>
              </w:rPr>
            </w:pPr>
            <w:r w:rsidRPr="0097713D">
              <w:rPr>
                <w:rFonts w:cs="Times New Roman"/>
                <w:sz w:val="20"/>
                <w:szCs w:val="20"/>
              </w:rPr>
              <w:t>Apstiprināti tiek tie ES fondu projektu iesniegumi:</w:t>
            </w:r>
          </w:p>
          <w:p w14:paraId="2157CACF" w14:textId="77777777" w:rsidR="00AD4BB1" w:rsidRPr="0097713D" w:rsidRDefault="00AD4BB1" w:rsidP="0097713D">
            <w:pPr>
              <w:numPr>
                <w:ilvl w:val="0"/>
                <w:numId w:val="10"/>
              </w:numPr>
              <w:autoSpaceDE w:val="0"/>
              <w:autoSpaceDN w:val="0"/>
              <w:ind w:left="317" w:hanging="283"/>
              <w:jc w:val="both"/>
              <w:rPr>
                <w:rFonts w:cs="Times New Roman"/>
                <w:sz w:val="20"/>
                <w:szCs w:val="20"/>
              </w:rPr>
            </w:pPr>
            <w:r w:rsidRPr="0097713D">
              <w:rPr>
                <w:rFonts w:cs="Times New Roman"/>
                <w:sz w:val="20"/>
                <w:szCs w:val="20"/>
              </w:rPr>
              <w:t xml:space="preserve">kuru </w:t>
            </w:r>
            <w:r w:rsidRPr="0097713D">
              <w:rPr>
                <w:rFonts w:cs="Times New Roman"/>
                <w:sz w:val="20"/>
                <w:szCs w:val="20"/>
                <w:lang w:eastAsia="lv-LV"/>
              </w:rPr>
              <w:t>projekta</w:t>
            </w:r>
            <w:r w:rsidRPr="0097713D">
              <w:rPr>
                <w:rFonts w:cs="Times New Roman"/>
                <w:sz w:val="20"/>
                <w:szCs w:val="20"/>
              </w:rPr>
              <w:t xml:space="preserve"> iesniedzēji (fiziskas vai juridiskas personas)</w:t>
            </w:r>
            <w:r w:rsidRPr="0097713D">
              <w:rPr>
                <w:rStyle w:val="FootnoteReference"/>
                <w:rFonts w:cs="Times New Roman"/>
                <w:sz w:val="20"/>
                <w:szCs w:val="20"/>
              </w:rPr>
              <w:footnoteReference w:id="5"/>
            </w:r>
            <w:r w:rsidRPr="0097713D">
              <w:rPr>
                <w:rFonts w:cs="Times New Roman"/>
                <w:sz w:val="20"/>
                <w:szCs w:val="20"/>
              </w:rPr>
              <w:t xml:space="preserve"> neatbilst nevienam no izslēgšanas noteikumiem vai projektu iesniedzēji (tiešās vai pastarpinātās pārvaldes iestāde, atvasināta publiska persona, cita valsts iestāde)</w:t>
            </w:r>
            <w:r w:rsidRPr="0097713D">
              <w:rPr>
                <w:rStyle w:val="FootnoteReference"/>
                <w:rFonts w:cs="Times New Roman"/>
                <w:sz w:val="20"/>
                <w:szCs w:val="20"/>
              </w:rPr>
              <w:footnoteReference w:id="6"/>
            </w:r>
            <w:r w:rsidRPr="0097713D">
              <w:rPr>
                <w:rFonts w:cs="Times New Roman"/>
                <w:sz w:val="20"/>
                <w:szCs w:val="20"/>
              </w:rPr>
              <w:t>, uz kuriem neattiecas izslēgšanas noteikumi un,</w:t>
            </w:r>
          </w:p>
          <w:p w14:paraId="400C3C18" w14:textId="77777777" w:rsidR="00AD4BB1" w:rsidRPr="0097713D" w:rsidRDefault="00AD4BB1" w:rsidP="0097713D">
            <w:pPr>
              <w:numPr>
                <w:ilvl w:val="0"/>
                <w:numId w:val="10"/>
              </w:numPr>
              <w:autoSpaceDE w:val="0"/>
              <w:autoSpaceDN w:val="0"/>
              <w:ind w:left="317" w:hanging="283"/>
              <w:jc w:val="both"/>
              <w:rPr>
                <w:rFonts w:cs="Times New Roman"/>
                <w:sz w:val="20"/>
                <w:szCs w:val="20"/>
              </w:rPr>
            </w:pPr>
            <w:r w:rsidRPr="0097713D">
              <w:rPr>
                <w:rFonts w:cs="Times New Roman"/>
                <w:sz w:val="20"/>
                <w:szCs w:val="20"/>
              </w:rPr>
              <w:t xml:space="preserve">kas </w:t>
            </w:r>
            <w:r w:rsidRPr="0097713D">
              <w:rPr>
                <w:rFonts w:cs="Times New Roman"/>
                <w:sz w:val="20"/>
                <w:szCs w:val="20"/>
                <w:lang w:eastAsia="lv-LV"/>
              </w:rPr>
              <w:t>atbilst</w:t>
            </w:r>
            <w:r w:rsidRPr="0097713D">
              <w:rPr>
                <w:rFonts w:cs="Times New Roman"/>
                <w:sz w:val="20"/>
                <w:szCs w:val="20"/>
              </w:rPr>
              <w:t xml:space="preserve"> visiem vienotajiem kritērijiem, tai skaitā vienotajiem izvēles kritērijiem, specifiskajiem atbilstības kritērijiem, un atbilstoši kvalitātes kritērijiem saņem pietiekamu vērtējumu, lai kvalificētos atbalsta saņemšanai, un, pirms pirmreizējā lēmuma par projekta iesniegumu, sarindojot projektus atbilstoši saņemtajiem punktiem dilstošā secībā, tiem ir pietiekams finansējums, kā arī tie ir izpildījuši visus lēmumā par projekta iesnieguma apstiprināšanu ar nosacījumiem izteiktos nosacījumus (ja attiecināms). </w:t>
            </w:r>
          </w:p>
          <w:p w14:paraId="306A36D7" w14:textId="77777777" w:rsidR="00AD4BB1" w:rsidRPr="0097713D" w:rsidRDefault="00AD4BB1" w:rsidP="0097713D">
            <w:pPr>
              <w:tabs>
                <w:tab w:val="left" w:pos="993"/>
              </w:tabs>
              <w:jc w:val="both"/>
              <w:rPr>
                <w:rFonts w:cs="Times New Roman"/>
                <w:b/>
                <w:bCs/>
                <w:sz w:val="20"/>
                <w:szCs w:val="20"/>
              </w:rPr>
            </w:pPr>
            <w:r w:rsidRPr="0097713D">
              <w:rPr>
                <w:rFonts w:cs="Times New Roman"/>
                <w:b/>
                <w:bCs/>
                <w:sz w:val="20"/>
                <w:szCs w:val="20"/>
              </w:rPr>
              <w:t>2.2.sadaļa “Ierobežota projektu iesniegumu atlase”</w:t>
            </w:r>
          </w:p>
          <w:p w14:paraId="75C6B2F0" w14:textId="77777777" w:rsidR="00AD4BB1" w:rsidRPr="0097713D" w:rsidRDefault="00AD4BB1" w:rsidP="0097713D">
            <w:pPr>
              <w:tabs>
                <w:tab w:val="left" w:pos="993"/>
              </w:tabs>
              <w:jc w:val="both"/>
              <w:rPr>
                <w:rFonts w:cs="Times New Roman"/>
                <w:b/>
                <w:bCs/>
                <w:sz w:val="20"/>
                <w:szCs w:val="20"/>
              </w:rPr>
            </w:pPr>
            <w:r w:rsidRPr="0097713D">
              <w:rPr>
                <w:rFonts w:cs="Times New Roman"/>
                <w:b/>
                <w:bCs/>
                <w:sz w:val="20"/>
                <w:szCs w:val="20"/>
              </w:rPr>
              <w:t>42.punkts</w:t>
            </w:r>
          </w:p>
          <w:p w14:paraId="62CBA369" w14:textId="77777777" w:rsidR="00AD4BB1" w:rsidRPr="0097713D" w:rsidRDefault="00AD4BB1" w:rsidP="0097713D">
            <w:pPr>
              <w:jc w:val="both"/>
              <w:rPr>
                <w:rFonts w:cs="Times New Roman"/>
                <w:sz w:val="20"/>
                <w:szCs w:val="20"/>
              </w:rPr>
            </w:pPr>
            <w:r w:rsidRPr="0097713D">
              <w:rPr>
                <w:rFonts w:cs="Times New Roman"/>
                <w:sz w:val="20"/>
                <w:szCs w:val="20"/>
              </w:rPr>
              <w:t>Tādējādi ierobežotas projektu iesniegumu atlases izvēli pamato fakts, ka tiek efektīvi izlietoti ES fondu projektu iesniedzēju un vērtētāju resursi. Īstenojot ierobežotu projektu iesniegumu atlasi, apstiprina un finansē visus ES fondu projektu iesniegumus:</w:t>
            </w:r>
          </w:p>
          <w:p w14:paraId="3948E7A9" w14:textId="77777777" w:rsidR="00AD4BB1" w:rsidRPr="0097713D" w:rsidRDefault="00AD4BB1" w:rsidP="0097713D">
            <w:pPr>
              <w:numPr>
                <w:ilvl w:val="0"/>
                <w:numId w:val="11"/>
              </w:numPr>
              <w:autoSpaceDE w:val="0"/>
              <w:autoSpaceDN w:val="0"/>
              <w:ind w:left="317"/>
              <w:jc w:val="both"/>
              <w:rPr>
                <w:rFonts w:cs="Times New Roman"/>
                <w:sz w:val="20"/>
                <w:szCs w:val="20"/>
              </w:rPr>
            </w:pPr>
            <w:r w:rsidRPr="0097713D">
              <w:rPr>
                <w:rFonts w:cs="Times New Roman"/>
                <w:sz w:val="20"/>
                <w:szCs w:val="20"/>
              </w:rPr>
              <w:t>kuru projekta iesniedzēji neatbilst nevienam no izslēgšanas noteikumiem</w:t>
            </w:r>
            <w:r w:rsidRPr="0097713D">
              <w:rPr>
                <w:rStyle w:val="FootnoteReference"/>
                <w:rFonts w:cs="Times New Roman"/>
                <w:sz w:val="20"/>
                <w:szCs w:val="20"/>
              </w:rPr>
              <w:footnoteReference w:id="7"/>
            </w:r>
            <w:r w:rsidRPr="0097713D">
              <w:rPr>
                <w:rFonts w:cs="Times New Roman"/>
                <w:sz w:val="20"/>
                <w:szCs w:val="20"/>
                <w:vertAlign w:val="superscript"/>
              </w:rPr>
              <w:t xml:space="preserve"> </w:t>
            </w:r>
            <w:r w:rsidRPr="0097713D">
              <w:rPr>
                <w:rFonts w:cs="Times New Roman"/>
                <w:sz w:val="20"/>
                <w:szCs w:val="20"/>
              </w:rPr>
              <w:t xml:space="preserve"> un,</w:t>
            </w:r>
          </w:p>
          <w:p w14:paraId="2E91A4B5" w14:textId="0D043F0B" w:rsidR="00AD4BB1" w:rsidRPr="0097713D" w:rsidRDefault="00AD4BB1" w:rsidP="0097713D">
            <w:pPr>
              <w:numPr>
                <w:ilvl w:val="0"/>
                <w:numId w:val="11"/>
              </w:numPr>
              <w:autoSpaceDE w:val="0"/>
              <w:autoSpaceDN w:val="0"/>
              <w:ind w:left="317"/>
              <w:jc w:val="both"/>
              <w:rPr>
                <w:rFonts w:cs="Times New Roman"/>
                <w:b/>
                <w:bCs/>
                <w:sz w:val="20"/>
                <w:szCs w:val="20"/>
              </w:rPr>
            </w:pPr>
            <w:r w:rsidRPr="0097713D">
              <w:rPr>
                <w:rFonts w:cs="Times New Roman"/>
                <w:sz w:val="20"/>
                <w:szCs w:val="20"/>
              </w:rPr>
              <w:t xml:space="preserve">kuri atbilst vienotajiem kritērijiem, vienotajiem izvēles kritērijiem, specifiskajiem atbilstības kritērijiem un saņem pietiekamu vērtējumu </w:t>
            </w:r>
            <w:r w:rsidRPr="0097713D">
              <w:rPr>
                <w:rFonts w:cs="Times New Roman"/>
                <w:sz w:val="20"/>
                <w:szCs w:val="20"/>
              </w:rPr>
              <w:lastRenderedPageBreak/>
              <w:t>atbilstoši kvalitātes kritērijiem (ja attiecināms). Ierobežotas projektu iesniegumu atlases gadījumā visi kritēriji ir precizējami (izņemot šīs metodikas 3.pielikumā ietverto vienoto izvēles kritēriju Nr.1</w:t>
            </w:r>
            <w:r w:rsidRPr="0097713D">
              <w:rPr>
                <w:rStyle w:val="FootnoteReference"/>
                <w:rFonts w:cs="Times New Roman"/>
                <w:sz w:val="20"/>
                <w:szCs w:val="20"/>
              </w:rPr>
              <w:footnoteReference w:id="8"/>
            </w:r>
            <w:r w:rsidRPr="0097713D">
              <w:rPr>
                <w:rFonts w:cs="Times New Roman"/>
                <w:sz w:val="20"/>
                <w:szCs w:val="20"/>
              </w:rPr>
              <w:t>).</w:t>
            </w:r>
          </w:p>
        </w:tc>
        <w:tc>
          <w:tcPr>
            <w:tcW w:w="4820" w:type="dxa"/>
            <w:shd w:val="clear" w:color="auto" w:fill="auto"/>
          </w:tcPr>
          <w:p w14:paraId="24688BCC" w14:textId="77777777" w:rsidR="00AD4BB1" w:rsidRPr="0097713D" w:rsidRDefault="00AD4BB1" w:rsidP="0097713D">
            <w:pPr>
              <w:jc w:val="both"/>
              <w:rPr>
                <w:rFonts w:cs="Times New Roman"/>
                <w:b/>
                <w:bCs/>
                <w:sz w:val="20"/>
                <w:szCs w:val="20"/>
              </w:rPr>
            </w:pPr>
            <w:r w:rsidRPr="0097713D">
              <w:rPr>
                <w:rFonts w:cs="Times New Roman"/>
                <w:b/>
                <w:bCs/>
                <w:sz w:val="20"/>
                <w:szCs w:val="20"/>
              </w:rPr>
              <w:lastRenderedPageBreak/>
              <w:t>Valsts kanceleja</w:t>
            </w:r>
          </w:p>
          <w:p w14:paraId="59C7D4FE" w14:textId="77777777" w:rsidR="00AD4BB1" w:rsidRPr="0097713D" w:rsidRDefault="00AD4BB1" w:rsidP="0097713D">
            <w:pPr>
              <w:jc w:val="both"/>
              <w:rPr>
                <w:rFonts w:cs="Times New Roman"/>
                <w:sz w:val="20"/>
                <w:szCs w:val="20"/>
              </w:rPr>
            </w:pPr>
            <w:r w:rsidRPr="0097713D">
              <w:rPr>
                <w:rFonts w:cs="Times New Roman"/>
                <w:sz w:val="20"/>
                <w:szCs w:val="20"/>
              </w:rPr>
              <w:t>Lūdzam salāgot redakciju par gadījumiem, kad nav piemērojami izslēgšanas noteikumi metodikas 38.1.apakšpunktā un 42.1.apakšpunktā.</w:t>
            </w:r>
          </w:p>
        </w:tc>
        <w:tc>
          <w:tcPr>
            <w:tcW w:w="3827" w:type="dxa"/>
            <w:shd w:val="clear" w:color="auto" w:fill="auto"/>
          </w:tcPr>
          <w:p w14:paraId="2171F7FF" w14:textId="77777777" w:rsidR="00AD4BB1" w:rsidRPr="007B74C6" w:rsidRDefault="00BC25C7" w:rsidP="007B74C6">
            <w:pPr>
              <w:jc w:val="both"/>
              <w:rPr>
                <w:rFonts w:cs="Times New Roman"/>
                <w:b/>
                <w:sz w:val="20"/>
                <w:szCs w:val="20"/>
              </w:rPr>
            </w:pPr>
            <w:r w:rsidRPr="007B74C6">
              <w:rPr>
                <w:rFonts w:cs="Times New Roman"/>
                <w:b/>
                <w:sz w:val="20"/>
                <w:szCs w:val="20"/>
              </w:rPr>
              <w:t>Nav ņemts vērā. Sniegts skaidrojums.</w:t>
            </w:r>
          </w:p>
          <w:p w14:paraId="7F0ED909" w14:textId="77777777" w:rsidR="007B74C6" w:rsidRPr="007B74C6" w:rsidRDefault="007B74C6" w:rsidP="007B74C6">
            <w:pPr>
              <w:jc w:val="both"/>
              <w:rPr>
                <w:rFonts w:cs="Times New Roman"/>
                <w:sz w:val="20"/>
                <w:szCs w:val="20"/>
              </w:rPr>
            </w:pPr>
            <w:r w:rsidRPr="007B74C6">
              <w:rPr>
                <w:rFonts w:cs="Times New Roman"/>
                <w:sz w:val="20"/>
                <w:szCs w:val="20"/>
              </w:rPr>
              <w:t xml:space="preserve">Skaidrojam, ka APIA gadījumā uzskatāmībai atsevišķi nodalītas tiešās vai pastarpinātās pārvaldes iestādes, atvasināta publiska personas, citas valsts iestādes, lai skaidrotu, ka, objektīvam pamatam pastāvot, šīm iestādēm iespējams ir nepieciešams pārbaudīt tikai atsevišķus nosacījumus pret izslēgšanas noteikumiem, jo šādām iestādēm pārbaudes apjoms pats par sevi var būt mazāks dēļ to statusa un daudz stingrākiem atbilstības, kontroles un darbības nosacījumiem jau ikdienas procesā, kas attiecīgi jau sākotnēji atsevišķus riskus izslēdz vai būtiski mazina. Privātā sektora potenciālajiem finansējuma saņēmējiem kā jauniem un nezināmiem klientiem šie riski ir jāpārbauda daudz padziļinātām, lai tos pilnībā izslēgtu un pārbaudītu. Vienlaikus skaidrojam, ka minētais precizējums ir vairāk kā informatīvs skaidrojums pārbaudes veikšanas procesam kā tādām, taču nemaina faktu, ka visi potenciālie finansējuma saņēmēji tiek pilnībā pārbaudīti pret izslēgšanas nosacījumiem.  Pie IPIA šī pārbaude faktiski tiek veikta līdzīgi, bet nav izdalīti FS veidi, jo veids izriet no konkrētā SAM dizaina un specifikas un ir saistīts ne tikai ar statusu, bet ar SAM definētajiem nosacījumiem  - </w:t>
            </w:r>
            <w:proofErr w:type="spellStart"/>
            <w:r w:rsidRPr="007B74C6">
              <w:rPr>
                <w:rFonts w:cs="Times New Roman"/>
                <w:sz w:val="20"/>
                <w:szCs w:val="20"/>
              </w:rPr>
              <w:t>predefinēts</w:t>
            </w:r>
            <w:proofErr w:type="spellEnd"/>
            <w:r w:rsidRPr="007B74C6">
              <w:rPr>
                <w:rFonts w:cs="Times New Roman"/>
                <w:sz w:val="20"/>
                <w:szCs w:val="20"/>
              </w:rPr>
              <w:t xml:space="preserve"> FS. </w:t>
            </w:r>
          </w:p>
          <w:p w14:paraId="624303D7" w14:textId="41268D7D" w:rsidR="00BC25C7" w:rsidRPr="007B74C6" w:rsidRDefault="00BC25C7" w:rsidP="007B74C6">
            <w:pPr>
              <w:jc w:val="both"/>
              <w:rPr>
                <w:rFonts w:cs="Times New Roman"/>
                <w:bCs/>
                <w:sz w:val="20"/>
                <w:szCs w:val="20"/>
              </w:rPr>
            </w:pPr>
          </w:p>
        </w:tc>
      </w:tr>
      <w:tr w:rsidR="00AD4BB1" w:rsidRPr="0097713D" w14:paraId="5CB0C94C" w14:textId="77777777" w:rsidTr="009F1082">
        <w:trPr>
          <w:trHeight w:val="85"/>
        </w:trPr>
        <w:tc>
          <w:tcPr>
            <w:tcW w:w="562" w:type="dxa"/>
            <w:shd w:val="clear" w:color="auto" w:fill="auto"/>
          </w:tcPr>
          <w:p w14:paraId="0A93DEF0" w14:textId="77777777" w:rsidR="00AD4BB1" w:rsidRPr="0097713D" w:rsidRDefault="00AD4BB1" w:rsidP="0097713D">
            <w:pPr>
              <w:pStyle w:val="ListParagraph"/>
              <w:numPr>
                <w:ilvl w:val="0"/>
                <w:numId w:val="12"/>
              </w:numPr>
              <w:rPr>
                <w:rFonts w:cs="Times New Roman"/>
                <w:bCs/>
                <w:sz w:val="20"/>
                <w:szCs w:val="20"/>
              </w:rPr>
            </w:pPr>
          </w:p>
        </w:tc>
        <w:tc>
          <w:tcPr>
            <w:tcW w:w="4678" w:type="dxa"/>
            <w:vMerge w:val="restart"/>
            <w:shd w:val="clear" w:color="auto" w:fill="auto"/>
          </w:tcPr>
          <w:p w14:paraId="65DC64F8" w14:textId="77777777" w:rsidR="00AD4BB1" w:rsidRPr="0097713D" w:rsidRDefault="00AD4BB1" w:rsidP="0097713D">
            <w:pPr>
              <w:tabs>
                <w:tab w:val="left" w:pos="993"/>
              </w:tabs>
              <w:jc w:val="both"/>
              <w:rPr>
                <w:rFonts w:cs="Times New Roman"/>
                <w:b/>
                <w:bCs/>
                <w:sz w:val="20"/>
                <w:szCs w:val="20"/>
              </w:rPr>
            </w:pPr>
            <w:r w:rsidRPr="0097713D">
              <w:rPr>
                <w:rFonts w:cs="Times New Roman"/>
                <w:b/>
                <w:bCs/>
                <w:sz w:val="20"/>
                <w:szCs w:val="20"/>
              </w:rPr>
              <w:t>2.2.sadaļa “Ierobežota projektu iesniegumu atlase”</w:t>
            </w:r>
          </w:p>
          <w:p w14:paraId="531A5862" w14:textId="77777777" w:rsidR="00AD4BB1" w:rsidRPr="0097713D" w:rsidRDefault="00AD4BB1" w:rsidP="0097713D">
            <w:pPr>
              <w:tabs>
                <w:tab w:val="left" w:pos="993"/>
              </w:tabs>
              <w:jc w:val="both"/>
              <w:rPr>
                <w:rFonts w:cs="Times New Roman"/>
                <w:b/>
                <w:bCs/>
                <w:sz w:val="20"/>
                <w:szCs w:val="20"/>
              </w:rPr>
            </w:pPr>
            <w:r w:rsidRPr="0097713D">
              <w:rPr>
                <w:rFonts w:cs="Times New Roman"/>
                <w:b/>
                <w:bCs/>
                <w:sz w:val="20"/>
                <w:szCs w:val="20"/>
              </w:rPr>
              <w:t>44.puknts</w:t>
            </w:r>
          </w:p>
          <w:p w14:paraId="34BD7CB9" w14:textId="77777777" w:rsidR="00AD4BB1" w:rsidRPr="0097713D" w:rsidRDefault="00AD4BB1" w:rsidP="0097713D">
            <w:pPr>
              <w:jc w:val="both"/>
              <w:rPr>
                <w:rFonts w:cs="Times New Roman"/>
                <w:sz w:val="20"/>
                <w:szCs w:val="20"/>
              </w:rPr>
            </w:pPr>
            <w:r w:rsidRPr="0097713D">
              <w:rPr>
                <w:rFonts w:cs="Times New Roman"/>
                <w:sz w:val="20"/>
                <w:szCs w:val="20"/>
              </w:rPr>
              <w:t>Ja projektu iesniegumu atlases nolikums neparedz “konsultē vispirms” principa piemērošanu, atbilstoši ES fondu vadības likuma 29.pantam projekta iesniegums pēc tā iesniegšanas līdz lēmuma pieņemšanai par tā apstiprināšanu, apstiprināšanu ar nosacījumu vai noraidīšanu nav precizējams – t.i., papildu informācijas pieprasīšana un iesniegšana līdz pirmreizējā lēmuma pieņemšanai par projekta apstiprināšanu, apstiprināšanu ar nosacījumu vai noraidīšanu, tai skaitā rakstiskas izmaiņas/ precizējumi jau iesniegtā projekta iesnieguma tekstā pēc projekta iesnieguma iesniegšanas ir interpretējama kā projekta iesnieguma precizēšana.</w:t>
            </w:r>
          </w:p>
          <w:p w14:paraId="646685DE" w14:textId="77777777" w:rsidR="00AD4BB1" w:rsidRPr="0097713D" w:rsidRDefault="00AD4BB1" w:rsidP="0097713D">
            <w:pPr>
              <w:tabs>
                <w:tab w:val="left" w:pos="993"/>
              </w:tabs>
              <w:jc w:val="both"/>
              <w:rPr>
                <w:rFonts w:cs="Times New Roman"/>
                <w:b/>
                <w:bCs/>
                <w:sz w:val="20"/>
                <w:szCs w:val="20"/>
              </w:rPr>
            </w:pPr>
          </w:p>
        </w:tc>
        <w:tc>
          <w:tcPr>
            <w:tcW w:w="4820" w:type="dxa"/>
            <w:shd w:val="clear" w:color="auto" w:fill="auto"/>
          </w:tcPr>
          <w:p w14:paraId="4C2A8C7C" w14:textId="77777777" w:rsidR="00AD4BB1" w:rsidRPr="0097713D" w:rsidRDefault="00AD4BB1" w:rsidP="0097713D">
            <w:pPr>
              <w:jc w:val="both"/>
              <w:rPr>
                <w:rFonts w:cs="Times New Roman"/>
                <w:b/>
                <w:bCs/>
                <w:sz w:val="20"/>
                <w:szCs w:val="20"/>
              </w:rPr>
            </w:pPr>
            <w:r w:rsidRPr="0097713D">
              <w:rPr>
                <w:rFonts w:cs="Times New Roman"/>
                <w:b/>
                <w:bCs/>
                <w:sz w:val="20"/>
                <w:szCs w:val="20"/>
              </w:rPr>
              <w:t>Latvijas Lielo pilsētu asociācija.</w:t>
            </w:r>
          </w:p>
          <w:p w14:paraId="175C4E09" w14:textId="77777777" w:rsidR="00AD4BB1" w:rsidRPr="0097713D" w:rsidRDefault="00AD4BB1" w:rsidP="0097713D">
            <w:pPr>
              <w:jc w:val="both"/>
              <w:rPr>
                <w:rFonts w:cs="Times New Roman"/>
                <w:sz w:val="20"/>
                <w:szCs w:val="20"/>
              </w:rPr>
            </w:pPr>
            <w:r w:rsidRPr="0097713D">
              <w:rPr>
                <w:rFonts w:cs="Times New Roman"/>
                <w:bCs/>
                <w:iCs/>
                <w:sz w:val="20"/>
                <w:szCs w:val="20"/>
              </w:rPr>
              <w:t xml:space="preserve">Lūgums skaidrot metodikas 44.punktā norādīto, ka ierobežotas projektu iesniegumu atlases nolikumā var neparedzēt “konsultē vispirms” principa piemērošanu, ja  Eiropas Savienības fondu 2021.—2027. gada plānošanas perioda vadības likuma 29.pantā skaidri noteikts, ka: </w:t>
            </w:r>
            <w:r w:rsidRPr="0097713D">
              <w:rPr>
                <w:rFonts w:cs="Times New Roman"/>
                <w:bCs/>
                <w:i/>
                <w:sz w:val="20"/>
                <w:szCs w:val="20"/>
              </w:rPr>
              <w:t xml:space="preserve">Ierobežotas projektu iesniegumu atlases ietvaros sadarbības iestāde saskaņā ar sadarbības iestādes noteiktu kārtību </w:t>
            </w:r>
            <w:r w:rsidRPr="0097713D">
              <w:rPr>
                <w:rFonts w:cs="Times New Roman"/>
                <w:b/>
                <w:i/>
                <w:sz w:val="20"/>
                <w:szCs w:val="20"/>
              </w:rPr>
              <w:t>nodrošina konsultatīvo atbalstu projekta iesnieguma sagatavošanā</w:t>
            </w:r>
            <w:r w:rsidRPr="0097713D">
              <w:rPr>
                <w:rFonts w:cs="Times New Roman"/>
                <w:bCs/>
                <w:i/>
                <w:sz w:val="20"/>
                <w:szCs w:val="20"/>
              </w:rPr>
              <w:t>.</w:t>
            </w:r>
          </w:p>
        </w:tc>
        <w:tc>
          <w:tcPr>
            <w:tcW w:w="3827" w:type="dxa"/>
            <w:vMerge w:val="restart"/>
            <w:shd w:val="clear" w:color="auto" w:fill="auto"/>
          </w:tcPr>
          <w:p w14:paraId="367F4F83" w14:textId="68D73489" w:rsidR="00AD4BB1" w:rsidRDefault="00AD4BB1" w:rsidP="0097713D">
            <w:pPr>
              <w:jc w:val="both"/>
              <w:rPr>
                <w:rFonts w:cs="Times New Roman"/>
                <w:b/>
                <w:sz w:val="20"/>
                <w:szCs w:val="20"/>
              </w:rPr>
            </w:pPr>
            <w:r w:rsidRPr="007D66F1">
              <w:rPr>
                <w:rFonts w:cs="Times New Roman"/>
                <w:b/>
                <w:sz w:val="20"/>
                <w:szCs w:val="20"/>
              </w:rPr>
              <w:t>Sniegts skaidrojums.</w:t>
            </w:r>
          </w:p>
          <w:p w14:paraId="23075E0A" w14:textId="7AE10BFF" w:rsidR="00F262F4" w:rsidRDefault="00F262F4" w:rsidP="0097713D">
            <w:pPr>
              <w:jc w:val="both"/>
              <w:rPr>
                <w:rFonts w:cs="Times New Roman"/>
                <w:bCs/>
                <w:sz w:val="20"/>
                <w:szCs w:val="20"/>
              </w:rPr>
            </w:pPr>
            <w:r w:rsidRPr="007D66F1">
              <w:rPr>
                <w:rFonts w:cs="Times New Roman"/>
                <w:bCs/>
                <w:sz w:val="20"/>
                <w:szCs w:val="20"/>
              </w:rPr>
              <w:t>Vēršam uzmanību, ka visos gadījumos, neatkarīgi no atlases veida, CFLA sniegts konsultatīvo atbalstu</w:t>
            </w:r>
            <w:r w:rsidR="00B920DE" w:rsidRPr="007D66F1">
              <w:rPr>
                <w:rFonts w:cs="Times New Roman"/>
                <w:bCs/>
                <w:sz w:val="20"/>
                <w:szCs w:val="20"/>
              </w:rPr>
              <w:t xml:space="preserve"> jau līdz šim nodrošinātajā formātā un apjomā, taču nākotnē IPIA ietvaros būs atšķirīga iespēja no APIA, padziļinātākam konsultatīvā atbalsta apjomam un saturam, ja tas būs paredzēts atlases nolikumā</w:t>
            </w:r>
            <w:r w:rsidRPr="007D66F1">
              <w:rPr>
                <w:rFonts w:cs="Times New Roman"/>
                <w:bCs/>
                <w:sz w:val="20"/>
                <w:szCs w:val="20"/>
              </w:rPr>
              <w:t>, attiecīgi ES fondu vadības</w:t>
            </w:r>
            <w:r w:rsidRPr="0097713D">
              <w:rPr>
                <w:rFonts w:cs="Times New Roman"/>
                <w:bCs/>
                <w:sz w:val="20"/>
                <w:szCs w:val="20"/>
              </w:rPr>
              <w:t xml:space="preserve"> likuma 29.pantā noteiktais tiks nodrošināts.</w:t>
            </w:r>
          </w:p>
          <w:p w14:paraId="0F537D6A" w14:textId="5D00F91D" w:rsidR="00F262F4" w:rsidRPr="0097713D" w:rsidRDefault="00F262F4" w:rsidP="00F262F4">
            <w:pPr>
              <w:jc w:val="both"/>
              <w:rPr>
                <w:rFonts w:cs="Times New Roman"/>
                <w:bCs/>
                <w:sz w:val="20"/>
                <w:szCs w:val="20"/>
              </w:rPr>
            </w:pPr>
            <w:r w:rsidRPr="0097713D">
              <w:rPr>
                <w:rFonts w:cs="Times New Roman"/>
                <w:bCs/>
                <w:sz w:val="20"/>
                <w:szCs w:val="20"/>
              </w:rPr>
              <w:t xml:space="preserve">Principa “konsultē vispirms” piemērošanas gadījumā </w:t>
            </w:r>
            <w:r w:rsidR="00B920DE">
              <w:rPr>
                <w:rFonts w:cs="Times New Roman"/>
                <w:bCs/>
                <w:sz w:val="20"/>
                <w:szCs w:val="20"/>
              </w:rPr>
              <w:t xml:space="preserve">CFLA sniegs konsultatīvu atbalstu ne vien pirms projekta iesnieguma iesniegšanas, bet veiks arī jau iesniegta projekta iesnieguma sākotnējo vērtējumu un iepazīstinās projekta iesniedzēju ar konstatētajām nepilnībām, dodot projekta iesniedzējam iespēju tās novērts vēl pirms lēmuma par projekta iesnieguma apstiprināšanu vai apstiprināšanu ar nosacījumiem pieņemšanas. </w:t>
            </w:r>
            <w:r w:rsidRPr="0097713D">
              <w:rPr>
                <w:rFonts w:cs="Times New Roman"/>
                <w:bCs/>
                <w:sz w:val="20"/>
                <w:szCs w:val="20"/>
              </w:rPr>
              <w:t xml:space="preserve">. </w:t>
            </w:r>
          </w:p>
          <w:p w14:paraId="4D1A328D" w14:textId="5684BF48" w:rsidR="00AD4BB1" w:rsidRPr="0097713D" w:rsidRDefault="00AD4BB1" w:rsidP="0097713D">
            <w:pPr>
              <w:jc w:val="both"/>
              <w:rPr>
                <w:rFonts w:cs="Times New Roman"/>
                <w:sz w:val="20"/>
                <w:szCs w:val="20"/>
              </w:rPr>
            </w:pPr>
            <w:r w:rsidRPr="0097713D">
              <w:rPr>
                <w:rFonts w:cs="Times New Roman"/>
                <w:sz w:val="20"/>
                <w:szCs w:val="20"/>
              </w:rPr>
              <w:t xml:space="preserve">Skaidrojam, ka principa “Konsultē vispirms” piemērošanu CFLA vērtēs projektu iesniegumu atlases sagatavošanas posmā, vērtējot atlases klientu kapacitāti, kvalitāti, SAM, pasākuma vai kārtas apjomu (plānoto projektu iesniegumu skaitu). </w:t>
            </w:r>
          </w:p>
          <w:p w14:paraId="6E054EE6" w14:textId="4FAADC6D" w:rsidR="00AD4BB1" w:rsidRPr="0097713D" w:rsidRDefault="00AD4BB1" w:rsidP="0097713D">
            <w:pPr>
              <w:jc w:val="both"/>
              <w:rPr>
                <w:rFonts w:cs="Times New Roman"/>
                <w:bCs/>
                <w:sz w:val="20"/>
                <w:szCs w:val="20"/>
              </w:rPr>
            </w:pPr>
            <w:r w:rsidRPr="0097713D">
              <w:rPr>
                <w:rFonts w:cs="Times New Roman"/>
                <w:bCs/>
                <w:sz w:val="20"/>
                <w:szCs w:val="20"/>
              </w:rPr>
              <w:t xml:space="preserve">Gadījumos, kad IPIA atlases nolikums neparedz principa “konsultē vispirms” piemērošanu, projekta iesnieguma precizēšana pēc tā iesniegšanas līdz lēmuma pieņemšanai par tā apstiprināšanu, apstiprināšanu ar nosacījumu vai noraidīšanu nav  iespējama. </w:t>
            </w:r>
          </w:p>
        </w:tc>
      </w:tr>
      <w:tr w:rsidR="00AD4BB1" w:rsidRPr="0097713D" w14:paraId="66EF3887" w14:textId="77777777" w:rsidTr="009F1082">
        <w:trPr>
          <w:trHeight w:val="85"/>
        </w:trPr>
        <w:tc>
          <w:tcPr>
            <w:tcW w:w="562" w:type="dxa"/>
            <w:shd w:val="clear" w:color="auto" w:fill="auto"/>
          </w:tcPr>
          <w:p w14:paraId="052754E2"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50F027A2" w14:textId="77777777" w:rsidR="00AD4BB1" w:rsidRPr="0097713D" w:rsidRDefault="00AD4BB1" w:rsidP="0097713D">
            <w:pPr>
              <w:tabs>
                <w:tab w:val="left" w:pos="993"/>
              </w:tabs>
              <w:jc w:val="both"/>
              <w:rPr>
                <w:rFonts w:cs="Times New Roman"/>
                <w:b/>
                <w:bCs/>
                <w:sz w:val="20"/>
                <w:szCs w:val="20"/>
              </w:rPr>
            </w:pPr>
          </w:p>
        </w:tc>
        <w:tc>
          <w:tcPr>
            <w:tcW w:w="4820" w:type="dxa"/>
            <w:shd w:val="clear" w:color="auto" w:fill="auto"/>
          </w:tcPr>
          <w:p w14:paraId="282D6146" w14:textId="77777777" w:rsidR="00AD4BB1" w:rsidRPr="0097713D" w:rsidRDefault="00AD4BB1" w:rsidP="0097713D">
            <w:pPr>
              <w:shd w:val="clear" w:color="auto" w:fill="FFFFFF"/>
              <w:jc w:val="both"/>
              <w:rPr>
                <w:rFonts w:cs="Times New Roman"/>
                <w:b/>
                <w:bCs/>
                <w:sz w:val="20"/>
                <w:szCs w:val="20"/>
              </w:rPr>
            </w:pPr>
            <w:r w:rsidRPr="0097713D">
              <w:rPr>
                <w:rFonts w:cs="Times New Roman"/>
                <w:b/>
                <w:bCs/>
                <w:sz w:val="20"/>
                <w:szCs w:val="20"/>
              </w:rPr>
              <w:t>Latvijas Pašvaldību savienība</w:t>
            </w:r>
          </w:p>
          <w:p w14:paraId="6FF971B9" w14:textId="77777777" w:rsidR="00AD4BB1" w:rsidRPr="0097713D" w:rsidRDefault="00AD4BB1" w:rsidP="0097713D">
            <w:pPr>
              <w:jc w:val="both"/>
              <w:rPr>
                <w:rFonts w:cs="Times New Roman"/>
                <w:b/>
                <w:bCs/>
                <w:sz w:val="20"/>
                <w:szCs w:val="20"/>
              </w:rPr>
            </w:pPr>
            <w:r w:rsidRPr="0097713D">
              <w:rPr>
                <w:rFonts w:cs="Times New Roman"/>
                <w:sz w:val="20"/>
                <w:szCs w:val="20"/>
              </w:rPr>
              <w:t>Lūgums skaidrot metodikas 44.punktā norādīto, ka ierobežotas projektu iesniegumu atlases nolikumā var neparedzēt “konsultē vispirms” principa piemērošanu, ja  Eiropas Savienības fondu 2021.—2027. gada plānošanas perioda vadības likuma 29.pantā skaidri noteikts, ka: Ierobežotas projektu iesniegumu atlases ietvaros sadarbības iestāde saskaņā ar sadarbības iestādes noteiktu kārtību nodrošina konsultatīvo atbalstu projekta iesnieguma sagatavošanā.</w:t>
            </w:r>
          </w:p>
        </w:tc>
        <w:tc>
          <w:tcPr>
            <w:tcW w:w="3827" w:type="dxa"/>
            <w:vMerge/>
            <w:shd w:val="clear" w:color="auto" w:fill="auto"/>
          </w:tcPr>
          <w:p w14:paraId="4F8CC85B" w14:textId="77777777" w:rsidR="00AD4BB1" w:rsidRPr="0097713D" w:rsidRDefault="00AD4BB1" w:rsidP="0097713D">
            <w:pPr>
              <w:jc w:val="both"/>
              <w:rPr>
                <w:rFonts w:cs="Times New Roman"/>
                <w:b/>
                <w:sz w:val="20"/>
                <w:szCs w:val="20"/>
              </w:rPr>
            </w:pPr>
          </w:p>
        </w:tc>
      </w:tr>
      <w:tr w:rsidR="002C25FA" w:rsidRPr="0097713D" w14:paraId="77D2E025" w14:textId="77777777" w:rsidTr="009F1082">
        <w:trPr>
          <w:trHeight w:val="85"/>
        </w:trPr>
        <w:tc>
          <w:tcPr>
            <w:tcW w:w="562" w:type="dxa"/>
            <w:shd w:val="clear" w:color="auto" w:fill="auto"/>
          </w:tcPr>
          <w:p w14:paraId="22C8D93D" w14:textId="77777777" w:rsidR="002C25FA" w:rsidRPr="0097713D" w:rsidRDefault="002C25FA" w:rsidP="0097713D">
            <w:pPr>
              <w:pStyle w:val="ListParagraph"/>
              <w:numPr>
                <w:ilvl w:val="0"/>
                <w:numId w:val="12"/>
              </w:numPr>
              <w:rPr>
                <w:rFonts w:cs="Times New Roman"/>
                <w:bCs/>
                <w:sz w:val="20"/>
                <w:szCs w:val="20"/>
              </w:rPr>
            </w:pPr>
          </w:p>
        </w:tc>
        <w:tc>
          <w:tcPr>
            <w:tcW w:w="4678" w:type="dxa"/>
            <w:shd w:val="clear" w:color="auto" w:fill="auto"/>
          </w:tcPr>
          <w:p w14:paraId="2CEFEC27" w14:textId="77777777" w:rsidR="002C25FA" w:rsidRDefault="002C25FA" w:rsidP="0097713D">
            <w:pPr>
              <w:tabs>
                <w:tab w:val="left" w:pos="993"/>
              </w:tabs>
              <w:jc w:val="both"/>
              <w:rPr>
                <w:rFonts w:cs="Times New Roman"/>
                <w:b/>
                <w:bCs/>
                <w:sz w:val="20"/>
                <w:szCs w:val="20"/>
              </w:rPr>
            </w:pPr>
            <w:r>
              <w:rPr>
                <w:rFonts w:cs="Times New Roman"/>
                <w:b/>
                <w:bCs/>
                <w:sz w:val="20"/>
                <w:szCs w:val="20"/>
              </w:rPr>
              <w:t>7.sadaļa “Specifiskie atbilstības kritēriji”</w:t>
            </w:r>
          </w:p>
          <w:p w14:paraId="0E42ABAA" w14:textId="1E93259B" w:rsidR="002C25FA" w:rsidRPr="0097713D" w:rsidRDefault="002C25FA" w:rsidP="0097713D">
            <w:pPr>
              <w:tabs>
                <w:tab w:val="left" w:pos="993"/>
              </w:tabs>
              <w:jc w:val="both"/>
              <w:rPr>
                <w:rFonts w:cs="Times New Roman"/>
                <w:b/>
                <w:bCs/>
                <w:sz w:val="20"/>
                <w:szCs w:val="20"/>
              </w:rPr>
            </w:pPr>
            <w:r>
              <w:rPr>
                <w:rFonts w:cs="Times New Roman"/>
                <w:b/>
                <w:bCs/>
                <w:sz w:val="20"/>
                <w:szCs w:val="20"/>
              </w:rPr>
              <w:lastRenderedPageBreak/>
              <w:t>Vispārīgs komentārs</w:t>
            </w:r>
          </w:p>
        </w:tc>
        <w:tc>
          <w:tcPr>
            <w:tcW w:w="4820" w:type="dxa"/>
            <w:shd w:val="clear" w:color="auto" w:fill="auto"/>
          </w:tcPr>
          <w:p w14:paraId="2EC05C92" w14:textId="35673378" w:rsidR="002C25FA" w:rsidRPr="002C25FA" w:rsidRDefault="002C25FA" w:rsidP="00A55417">
            <w:pPr>
              <w:shd w:val="clear" w:color="auto" w:fill="FFFFFF"/>
              <w:jc w:val="both"/>
              <w:rPr>
                <w:rFonts w:cs="Times New Roman"/>
                <w:b/>
                <w:bCs/>
                <w:sz w:val="20"/>
                <w:szCs w:val="20"/>
              </w:rPr>
            </w:pPr>
            <w:r w:rsidRPr="002C25FA">
              <w:rPr>
                <w:rFonts w:cs="Times New Roman"/>
                <w:b/>
                <w:bCs/>
                <w:sz w:val="20"/>
                <w:szCs w:val="20"/>
              </w:rPr>
              <w:lastRenderedPageBreak/>
              <w:t>Eiropas Komisija</w:t>
            </w:r>
          </w:p>
          <w:p w14:paraId="6618BBC8" w14:textId="77777777" w:rsidR="002C25FA" w:rsidRPr="002C25FA" w:rsidRDefault="002C25FA" w:rsidP="00A55417">
            <w:pPr>
              <w:jc w:val="both"/>
              <w:rPr>
                <w:sz w:val="20"/>
                <w:szCs w:val="20"/>
                <w:lang w:val="en-GB"/>
              </w:rPr>
            </w:pPr>
            <w:r w:rsidRPr="002C25FA">
              <w:rPr>
                <w:sz w:val="20"/>
                <w:szCs w:val="20"/>
                <w:lang w:val="en-GB"/>
              </w:rPr>
              <w:lastRenderedPageBreak/>
              <w:t>Thank you very much for the patience for waiting for our reply regarding the project selection criteria methodology for the EU Cohesion Policy programme 2021-2027 for Latvia</w:t>
            </w:r>
            <w:r w:rsidRPr="002C25FA">
              <w:rPr>
                <w:color w:val="1F497D"/>
                <w:sz w:val="20"/>
                <w:szCs w:val="20"/>
                <w:lang w:val="en-GB"/>
              </w:rPr>
              <w:t xml:space="preserve"> </w:t>
            </w:r>
            <w:r w:rsidRPr="002C25FA">
              <w:rPr>
                <w:sz w:val="20"/>
                <w:szCs w:val="20"/>
                <w:lang w:val="en-GB"/>
              </w:rPr>
              <w:t xml:space="preserve">(thereafter – the Programme). </w:t>
            </w:r>
          </w:p>
          <w:p w14:paraId="48DD6E12" w14:textId="77777777" w:rsidR="002C25FA" w:rsidRPr="002C25FA" w:rsidRDefault="002C25FA" w:rsidP="00A55417">
            <w:pPr>
              <w:jc w:val="both"/>
              <w:rPr>
                <w:sz w:val="20"/>
                <w:szCs w:val="20"/>
                <w:lang w:val="en-GB"/>
              </w:rPr>
            </w:pPr>
            <w:r w:rsidRPr="002C25FA">
              <w:rPr>
                <w:sz w:val="20"/>
                <w:szCs w:val="20"/>
                <w:lang w:val="en-GB"/>
              </w:rPr>
              <w:t xml:space="preserve">We kindly ask you to make sure that the list of projects selection criteria ensures the projects’ compliance with the United Nations Convention on the rights of persons with disabilities (hereafter – the UNCRPD). The Partnership Agreement and the Programme contains some LV commitments regarding the Convention. Namely, the Partnership Agreement text refers not only to the UNCRPD but also to General Comments 4 and 5. Therefore, in order fulfil this commitment, Latvia has to set up an efficient system checking the operations against this background. The Commission services consider that selection criteria are a key element to ensure that only operations compliant with the UNCRPD will be financed. </w:t>
            </w:r>
          </w:p>
          <w:p w14:paraId="0177EAF5" w14:textId="77777777" w:rsidR="002C25FA" w:rsidRPr="002C25FA" w:rsidRDefault="002C25FA" w:rsidP="00A55417">
            <w:pPr>
              <w:jc w:val="both"/>
              <w:rPr>
                <w:i/>
                <w:iCs/>
                <w:sz w:val="20"/>
                <w:szCs w:val="20"/>
                <w:lang w:val="en-GB"/>
              </w:rPr>
            </w:pPr>
            <w:r w:rsidRPr="002C25FA">
              <w:rPr>
                <w:sz w:val="20"/>
                <w:szCs w:val="20"/>
                <w:lang w:val="en-GB"/>
              </w:rPr>
              <w:t xml:space="preserve">For easy reference the relevant Partnership Agreement text is provided below: </w:t>
            </w:r>
          </w:p>
          <w:p w14:paraId="3CE27A47" w14:textId="77777777" w:rsidR="00A55417" w:rsidRDefault="00A55417" w:rsidP="00A55417">
            <w:pPr>
              <w:jc w:val="both"/>
              <w:rPr>
                <w:i/>
                <w:iCs/>
                <w:sz w:val="20"/>
                <w:szCs w:val="20"/>
                <w:lang w:val="lt-LT"/>
              </w:rPr>
            </w:pPr>
          </w:p>
          <w:p w14:paraId="532E5C6F" w14:textId="76CD4BD1" w:rsidR="002C25FA" w:rsidRPr="002C25FA" w:rsidRDefault="002C25FA" w:rsidP="00A55417">
            <w:pPr>
              <w:jc w:val="both"/>
              <w:rPr>
                <w:rFonts w:cs="Times New Roman"/>
                <w:sz w:val="20"/>
                <w:szCs w:val="20"/>
                <w:lang w:val="lt-LT"/>
              </w:rPr>
            </w:pPr>
            <w:r w:rsidRPr="002C25FA">
              <w:rPr>
                <w:i/>
                <w:iCs/>
                <w:sz w:val="20"/>
                <w:szCs w:val="20"/>
                <w:lang w:val="lt-LT"/>
              </w:rPr>
              <w:t>Investīcijām izglītības, sociālajā un veselības aprūpes infrastruktūrā pilnībā jāatbilst ANO Konvencijas par personu ar invaliditāti tiesībām prasībām, tostarp 4. un 5. vispārīgajam komentāram un Konvencijas par personu ar invaliditāti tiesībām komitejas noslēguma apsvērumiem, pienācīgi ievērojot vienlīdzības, izvēles brīvības, tiesību uz izglītību, tiesību uz neatkarīgu dzīvi, pieejamības principus un aizliedzot visu veidu segregāciju. Investīcijām būs jāpierāda atbilstība deinstitucionalizācijas stratēģijai un vispārējiem nosacījumiem/ nacionālajam regulējumam personu ar invaliditāti iekļaušanai vispārējā izglītībā, kā arī attiecīgajai ES politikai un tiesiskajam regulējumam, lai nodrošinātu atbilstību cilvēktiesību prasībām, proti, Pamattiesību hartai, Eiropas sociālo tiesību pīlāram un Stratēģijai par personu ar invaliditāti tiesībām 2021.–2030. gadam. Veiktie ieguldījumi  neveicinās nelabvēlīgākā situācijā esošu grupu segregāciju/ izolāciju, piemēram, personu ar invaliditāti un migrantu izcelsmes personu segregāciju/ izolāciju.</w:t>
            </w:r>
          </w:p>
        </w:tc>
        <w:tc>
          <w:tcPr>
            <w:tcW w:w="3827" w:type="dxa"/>
            <w:shd w:val="clear" w:color="auto" w:fill="auto"/>
          </w:tcPr>
          <w:p w14:paraId="787E42B3" w14:textId="77777777" w:rsidR="002C25FA" w:rsidRPr="002C25FA" w:rsidRDefault="002C25FA" w:rsidP="0097713D">
            <w:pPr>
              <w:jc w:val="both"/>
              <w:rPr>
                <w:rFonts w:cs="Times New Roman"/>
                <w:b/>
                <w:sz w:val="20"/>
                <w:szCs w:val="20"/>
              </w:rPr>
            </w:pPr>
            <w:r w:rsidRPr="002C25FA">
              <w:rPr>
                <w:rFonts w:cs="Times New Roman"/>
                <w:b/>
                <w:sz w:val="20"/>
                <w:szCs w:val="20"/>
              </w:rPr>
              <w:lastRenderedPageBreak/>
              <w:t>Ņemts vērtā.</w:t>
            </w:r>
          </w:p>
          <w:p w14:paraId="513134D5" w14:textId="77777777" w:rsidR="002C25FA" w:rsidRDefault="002C25FA" w:rsidP="0097713D">
            <w:pPr>
              <w:jc w:val="both"/>
              <w:rPr>
                <w:rFonts w:cs="Times New Roman"/>
                <w:bCs/>
                <w:sz w:val="20"/>
                <w:szCs w:val="20"/>
              </w:rPr>
            </w:pPr>
            <w:r w:rsidRPr="002C25FA">
              <w:rPr>
                <w:rFonts w:cs="Times New Roman"/>
                <w:bCs/>
                <w:sz w:val="20"/>
                <w:szCs w:val="20"/>
              </w:rPr>
              <w:lastRenderedPageBreak/>
              <w:t xml:space="preserve">Metodikas 7.sadaļa papildināta ar jaunu punktu par nepieciešamību nodrošināt atbilstošu specifisko atbilstības kritēriju iekļaušanu, lai nodrošinātu nepieciešamo nosacījumu ievērošanu </w:t>
            </w:r>
            <w:r>
              <w:rPr>
                <w:rFonts w:cs="Times New Roman"/>
                <w:bCs/>
                <w:sz w:val="20"/>
                <w:szCs w:val="20"/>
              </w:rPr>
              <w:t xml:space="preserve">investīcijām </w:t>
            </w:r>
            <w:r>
              <w:t xml:space="preserve"> </w:t>
            </w:r>
            <w:r w:rsidRPr="002C25FA">
              <w:rPr>
                <w:rFonts w:cs="Times New Roman"/>
                <w:bCs/>
                <w:sz w:val="20"/>
                <w:szCs w:val="20"/>
              </w:rPr>
              <w:t>izglītības, sociālajā un veselības aprūpes infrastruktūrā</w:t>
            </w:r>
            <w:r>
              <w:rPr>
                <w:rFonts w:cs="Times New Roman"/>
                <w:bCs/>
                <w:sz w:val="20"/>
                <w:szCs w:val="20"/>
              </w:rPr>
              <w:t>.</w:t>
            </w:r>
          </w:p>
          <w:p w14:paraId="2C9BC7AC" w14:textId="77777777" w:rsidR="002C25FA" w:rsidRDefault="002C25FA" w:rsidP="002C25FA">
            <w:pPr>
              <w:jc w:val="both"/>
              <w:rPr>
                <w:rFonts w:cs="Times New Roman"/>
                <w:bCs/>
                <w:sz w:val="20"/>
                <w:szCs w:val="20"/>
              </w:rPr>
            </w:pPr>
            <w:r>
              <w:rPr>
                <w:rFonts w:cs="Times New Roman"/>
                <w:bCs/>
                <w:sz w:val="20"/>
                <w:szCs w:val="20"/>
              </w:rPr>
              <w:t>Vienlaikus skaidrojam, ka, ņemot vērā, ka minētie nosacījumi nav piemērojami pilnīgi visām investīcijām un ir specifiski nosakāmi, ņemot vērā plānoto investīcijas jomu un ieguldījumu tvērumu, paredzētās atbalstāmās darbības, nav iespējams visus nosacījumus iekļaut vienotā izvēles kritērijā.</w:t>
            </w:r>
          </w:p>
          <w:p w14:paraId="259115D8" w14:textId="77777777" w:rsidR="002C25FA" w:rsidRDefault="002C25FA" w:rsidP="002C25FA">
            <w:pPr>
              <w:jc w:val="both"/>
              <w:rPr>
                <w:rFonts w:cs="Times New Roman"/>
                <w:bCs/>
                <w:sz w:val="20"/>
                <w:szCs w:val="20"/>
              </w:rPr>
            </w:pPr>
          </w:p>
          <w:p w14:paraId="14A23D83" w14:textId="77777777" w:rsidR="002C25FA" w:rsidRPr="002C25FA" w:rsidRDefault="002C25FA" w:rsidP="002C25FA">
            <w:pPr>
              <w:jc w:val="both"/>
              <w:rPr>
                <w:rFonts w:cs="Times New Roman"/>
                <w:b/>
                <w:sz w:val="20"/>
                <w:szCs w:val="20"/>
                <w:lang w:val="en-GB"/>
              </w:rPr>
            </w:pPr>
            <w:r w:rsidRPr="002C25FA">
              <w:rPr>
                <w:rFonts w:cs="Times New Roman"/>
                <w:b/>
                <w:sz w:val="20"/>
                <w:szCs w:val="20"/>
                <w:lang w:val="en-GB"/>
              </w:rPr>
              <w:t>Taken into account.</w:t>
            </w:r>
          </w:p>
          <w:p w14:paraId="402F1C62" w14:textId="02200BB8" w:rsidR="002C25FA" w:rsidRPr="002C25FA" w:rsidRDefault="002C25FA" w:rsidP="002C25FA">
            <w:pPr>
              <w:jc w:val="both"/>
              <w:rPr>
                <w:rFonts w:cs="Times New Roman"/>
                <w:bCs/>
                <w:sz w:val="20"/>
                <w:szCs w:val="20"/>
                <w:lang w:val="en-GB"/>
              </w:rPr>
            </w:pPr>
            <w:r w:rsidRPr="002C25FA">
              <w:rPr>
                <w:rFonts w:cs="Times New Roman"/>
                <w:bCs/>
                <w:sz w:val="20"/>
                <w:szCs w:val="20"/>
                <w:lang w:val="en-GB"/>
              </w:rPr>
              <w:t xml:space="preserve">Section 7 of the methodology has been supplemented with a new point </w:t>
            </w:r>
            <w:r>
              <w:rPr>
                <w:rFonts w:cs="Times New Roman"/>
                <w:bCs/>
                <w:sz w:val="20"/>
                <w:szCs w:val="20"/>
                <w:lang w:val="en-GB"/>
              </w:rPr>
              <w:t xml:space="preserve">regarding need </w:t>
            </w:r>
            <w:r w:rsidRPr="002C25FA">
              <w:rPr>
                <w:rFonts w:cs="Times New Roman"/>
                <w:bCs/>
                <w:sz w:val="20"/>
                <w:szCs w:val="20"/>
                <w:lang w:val="en-GB"/>
              </w:rPr>
              <w:t>to ensure the inclusion of appropriate specific eligibility criteria in order to ensure compliance with the necessary conditions for investments in educational, social and healthcare infrastructure.</w:t>
            </w:r>
          </w:p>
          <w:p w14:paraId="24AC0F47" w14:textId="454927DC" w:rsidR="002C25FA" w:rsidRPr="002C25FA" w:rsidRDefault="00FB3985" w:rsidP="002C25FA">
            <w:pPr>
              <w:jc w:val="both"/>
              <w:rPr>
                <w:rFonts w:cs="Times New Roman"/>
                <w:bCs/>
                <w:sz w:val="20"/>
                <w:szCs w:val="20"/>
                <w:highlight w:val="green"/>
              </w:rPr>
            </w:pPr>
            <w:r w:rsidRPr="00FB3985">
              <w:rPr>
                <w:rFonts w:cs="Times New Roman"/>
                <w:bCs/>
                <w:sz w:val="20"/>
                <w:szCs w:val="20"/>
                <w:lang w:val="en-GB"/>
              </w:rPr>
              <w:t>At the same time, we explain that, taking into account that the mentioned conditions are not applicable to all investments of all Specific Objectives and should be determined specifically, taking into account the planned investment field and investment scope, the planned actions to be supported, it is not possible to include all conditions in one common optional selection criteria.</w:t>
            </w:r>
            <w:bookmarkStart w:id="0" w:name="_GoBack"/>
            <w:bookmarkEnd w:id="0"/>
          </w:p>
        </w:tc>
      </w:tr>
      <w:tr w:rsidR="0097713D" w:rsidRPr="0097713D" w14:paraId="792600AA" w14:textId="77777777" w:rsidTr="009F1082">
        <w:trPr>
          <w:trHeight w:val="85"/>
        </w:trPr>
        <w:tc>
          <w:tcPr>
            <w:tcW w:w="562" w:type="dxa"/>
            <w:shd w:val="clear" w:color="auto" w:fill="auto"/>
          </w:tcPr>
          <w:p w14:paraId="1F1EE861" w14:textId="77777777" w:rsidR="0097713D" w:rsidRPr="0097713D" w:rsidRDefault="0097713D" w:rsidP="0097713D">
            <w:pPr>
              <w:pStyle w:val="ListParagraph"/>
              <w:numPr>
                <w:ilvl w:val="0"/>
                <w:numId w:val="12"/>
              </w:numPr>
              <w:rPr>
                <w:rFonts w:cs="Times New Roman"/>
                <w:bCs/>
                <w:sz w:val="20"/>
                <w:szCs w:val="20"/>
              </w:rPr>
            </w:pPr>
          </w:p>
        </w:tc>
        <w:tc>
          <w:tcPr>
            <w:tcW w:w="4678" w:type="dxa"/>
            <w:shd w:val="clear" w:color="auto" w:fill="auto"/>
          </w:tcPr>
          <w:p w14:paraId="00C6BAFD" w14:textId="77777777" w:rsidR="0097713D" w:rsidRPr="0097713D" w:rsidRDefault="0097713D" w:rsidP="0097713D">
            <w:pPr>
              <w:tabs>
                <w:tab w:val="left" w:pos="993"/>
              </w:tabs>
              <w:jc w:val="both"/>
              <w:rPr>
                <w:rFonts w:cs="Times New Roman"/>
                <w:b/>
                <w:bCs/>
                <w:sz w:val="20"/>
                <w:szCs w:val="20"/>
              </w:rPr>
            </w:pPr>
            <w:r w:rsidRPr="0097713D">
              <w:rPr>
                <w:rFonts w:cs="Times New Roman"/>
                <w:b/>
                <w:bCs/>
                <w:sz w:val="20"/>
                <w:szCs w:val="20"/>
              </w:rPr>
              <w:t>9.sadaļa “Kvalitātes kritēriji”</w:t>
            </w:r>
          </w:p>
          <w:p w14:paraId="4E6C61CC" w14:textId="77777777" w:rsidR="0097713D" w:rsidRPr="0097713D" w:rsidRDefault="0097713D" w:rsidP="0097713D">
            <w:pPr>
              <w:tabs>
                <w:tab w:val="left" w:pos="993"/>
              </w:tabs>
              <w:jc w:val="both"/>
              <w:rPr>
                <w:rFonts w:cs="Times New Roman"/>
                <w:b/>
                <w:bCs/>
                <w:sz w:val="20"/>
                <w:szCs w:val="20"/>
              </w:rPr>
            </w:pPr>
            <w:r w:rsidRPr="0097713D">
              <w:rPr>
                <w:rFonts w:cs="Times New Roman"/>
                <w:b/>
                <w:bCs/>
                <w:sz w:val="20"/>
                <w:szCs w:val="20"/>
              </w:rPr>
              <w:lastRenderedPageBreak/>
              <w:t>83.puknts</w:t>
            </w:r>
          </w:p>
          <w:p w14:paraId="63DB896F" w14:textId="77777777" w:rsidR="0097713D" w:rsidRPr="0097713D" w:rsidRDefault="0097713D" w:rsidP="0097713D">
            <w:pPr>
              <w:jc w:val="both"/>
              <w:rPr>
                <w:rFonts w:cs="Times New Roman"/>
                <w:sz w:val="20"/>
                <w:szCs w:val="20"/>
              </w:rPr>
            </w:pPr>
            <w:r w:rsidRPr="0097713D">
              <w:rPr>
                <w:rFonts w:cs="Times New Roman"/>
                <w:sz w:val="20"/>
                <w:szCs w:val="20"/>
              </w:rPr>
              <w:t xml:space="preserve">Vadošā iestāde un sadarbības iestāde aicina atbildīgās iestādes kā minimālo kopējo vērtējumu visu kvalitātes kritēriju ietvaros noteikt vismaz 50% no maksimālā iespējamā punktu skaita, tādējādi nodrošinot kvalitatīvu un ar augstas gatavības pakāpi iesniegtu projektu iesnieguma apstiprināšanu. Projektu iesniegumu kopvērtējums atbilstoši punktu skalai ļauj sarindot projektu iesniegumus prioritārā secībā, nosakot tos projektus, kuri dod augstāko atdevi, un tos, kuriem </w:t>
            </w:r>
            <w:proofErr w:type="spellStart"/>
            <w:r w:rsidRPr="0097713D">
              <w:rPr>
                <w:rFonts w:cs="Times New Roman"/>
                <w:sz w:val="20"/>
                <w:szCs w:val="20"/>
              </w:rPr>
              <w:t>atdeve</w:t>
            </w:r>
            <w:proofErr w:type="spellEnd"/>
            <w:r w:rsidRPr="0097713D">
              <w:rPr>
                <w:rFonts w:cs="Times New Roman"/>
                <w:sz w:val="20"/>
                <w:szCs w:val="20"/>
              </w:rPr>
              <w:t xml:space="preserve"> ir zemāka. Šo projektu iesniegumu secību izmanto, lai noteiktu atbalstāmos projektus, piemēram, ja ir nepietiekami finanšu resursi visu vērtēšanas kritērijiem atbilstošu projektu iesniegumu apstiprināšanai atklātā projektu iesniegumu atlasē.</w:t>
            </w:r>
          </w:p>
          <w:p w14:paraId="7FC58CA7" w14:textId="31922399" w:rsidR="0097713D" w:rsidRPr="0097713D" w:rsidRDefault="0097713D" w:rsidP="0097713D">
            <w:pPr>
              <w:tabs>
                <w:tab w:val="left" w:pos="993"/>
              </w:tabs>
              <w:jc w:val="both"/>
              <w:rPr>
                <w:rFonts w:cs="Times New Roman"/>
                <w:b/>
                <w:bCs/>
                <w:sz w:val="20"/>
                <w:szCs w:val="20"/>
              </w:rPr>
            </w:pPr>
          </w:p>
        </w:tc>
        <w:tc>
          <w:tcPr>
            <w:tcW w:w="4820" w:type="dxa"/>
            <w:shd w:val="clear" w:color="auto" w:fill="auto"/>
          </w:tcPr>
          <w:p w14:paraId="032D6019" w14:textId="77777777" w:rsidR="0097713D" w:rsidRPr="0097713D" w:rsidRDefault="0097713D" w:rsidP="0097713D">
            <w:pPr>
              <w:shd w:val="clear" w:color="auto" w:fill="FFFFFF"/>
              <w:jc w:val="both"/>
              <w:rPr>
                <w:rFonts w:cs="Times New Roman"/>
                <w:b/>
                <w:bCs/>
                <w:sz w:val="20"/>
                <w:szCs w:val="20"/>
              </w:rPr>
            </w:pPr>
            <w:r w:rsidRPr="0097713D">
              <w:rPr>
                <w:rFonts w:cs="Times New Roman"/>
                <w:b/>
                <w:bCs/>
                <w:sz w:val="20"/>
                <w:szCs w:val="20"/>
              </w:rPr>
              <w:lastRenderedPageBreak/>
              <w:t>Latvijas Pašvaldību savienība</w:t>
            </w:r>
          </w:p>
          <w:p w14:paraId="3263137A" w14:textId="77777777" w:rsidR="0097713D" w:rsidRPr="0097713D" w:rsidRDefault="0097713D" w:rsidP="0097713D">
            <w:pPr>
              <w:jc w:val="both"/>
              <w:rPr>
                <w:rFonts w:cs="Times New Roman"/>
                <w:sz w:val="20"/>
                <w:szCs w:val="20"/>
              </w:rPr>
            </w:pPr>
            <w:r w:rsidRPr="0097713D">
              <w:rPr>
                <w:rFonts w:cs="Times New Roman"/>
                <w:sz w:val="20"/>
                <w:szCs w:val="20"/>
              </w:rPr>
              <w:lastRenderedPageBreak/>
              <w:t>Vēršam Jūsu uzmanību un lūdzam skaidrojumu par 83.punktu:</w:t>
            </w:r>
          </w:p>
          <w:p w14:paraId="3060044B" w14:textId="77777777" w:rsidR="0097713D" w:rsidRPr="0097713D" w:rsidRDefault="0097713D" w:rsidP="0097713D">
            <w:pPr>
              <w:jc w:val="both"/>
              <w:rPr>
                <w:rFonts w:cs="Times New Roman"/>
                <w:sz w:val="20"/>
                <w:szCs w:val="20"/>
              </w:rPr>
            </w:pPr>
            <w:r w:rsidRPr="0097713D">
              <w:rPr>
                <w:rFonts w:cs="Times New Roman"/>
                <w:sz w:val="20"/>
                <w:szCs w:val="20"/>
              </w:rPr>
              <w:t>“83. Vadošā iestāde un sadarbības iestāde aicina atbildīgās iestādes kā minimālo kopējo vērtējumu visu kvalitātes kritēriju ietvaros noteikt vismaz 50% no maksimālā iespējamā punktu skaita, tādējādi nodrošinot kvalitatīvu un ar augstas gatavības pakāpi iesniegtu projektu iesnieguma apstiprināšanu…….”.</w:t>
            </w:r>
          </w:p>
          <w:p w14:paraId="6E916EE9" w14:textId="77777777" w:rsidR="0097713D" w:rsidRPr="0097713D" w:rsidRDefault="0097713D" w:rsidP="0097713D">
            <w:pPr>
              <w:jc w:val="both"/>
              <w:rPr>
                <w:rFonts w:cs="Times New Roman"/>
                <w:sz w:val="20"/>
                <w:szCs w:val="20"/>
              </w:rPr>
            </w:pPr>
            <w:r w:rsidRPr="0097713D">
              <w:rPr>
                <w:rFonts w:cs="Times New Roman"/>
                <w:sz w:val="20"/>
                <w:szCs w:val="20"/>
              </w:rPr>
              <w:t>Ir norādīts, ka vēlas nodrošināt “ar augstu gatavības pakāpi iesniegtu projektu iesniegumu apstiprināšanu”, savukārt, pielikumos par kritērijiem nav precīzi atrunāts, kāda būs šī augstā gatavība – vai atkal Būvprojekti pilnā apjomā?</w:t>
            </w:r>
          </w:p>
          <w:p w14:paraId="5C58CD4A" w14:textId="77777777" w:rsidR="0097713D" w:rsidRPr="0097713D" w:rsidRDefault="0097713D" w:rsidP="0097713D">
            <w:pPr>
              <w:jc w:val="both"/>
              <w:rPr>
                <w:rFonts w:cs="Times New Roman"/>
                <w:sz w:val="20"/>
                <w:szCs w:val="20"/>
              </w:rPr>
            </w:pPr>
            <w:r w:rsidRPr="0097713D">
              <w:rPr>
                <w:rFonts w:cs="Times New Roman"/>
                <w:sz w:val="20"/>
                <w:szCs w:val="20"/>
              </w:rPr>
              <w:t>Uzskatām, plānošanas perioda sākumā piemērot šādu nosacījumu ir nesamērīgi.</w:t>
            </w:r>
          </w:p>
          <w:p w14:paraId="55C87868" w14:textId="77777777" w:rsidR="0097713D" w:rsidRPr="0097713D" w:rsidRDefault="0097713D" w:rsidP="0097713D">
            <w:pPr>
              <w:jc w:val="both"/>
              <w:rPr>
                <w:rFonts w:cs="Times New Roman"/>
                <w:sz w:val="20"/>
                <w:szCs w:val="20"/>
              </w:rPr>
            </w:pPr>
            <w:r w:rsidRPr="0097713D">
              <w:rPr>
                <w:rFonts w:cs="Times New Roman"/>
                <w:sz w:val="20"/>
                <w:szCs w:val="20"/>
              </w:rPr>
              <w:t>Lūdzam  sniegt skaidrojumu, kāda būs šī augstā gatavība un lūdzam neiekļaut vērtēšanas kritērijos augsto gatavību (izstrādāts Būvprojekts).</w:t>
            </w:r>
          </w:p>
          <w:p w14:paraId="58B1E471" w14:textId="0989B690" w:rsidR="0097713D" w:rsidRPr="0097713D" w:rsidRDefault="0097713D" w:rsidP="0097713D">
            <w:pPr>
              <w:shd w:val="clear" w:color="auto" w:fill="FFFFFF"/>
              <w:jc w:val="both"/>
              <w:rPr>
                <w:rFonts w:cs="Times New Roman"/>
                <w:b/>
                <w:bCs/>
                <w:sz w:val="20"/>
                <w:szCs w:val="20"/>
              </w:rPr>
            </w:pPr>
          </w:p>
        </w:tc>
        <w:tc>
          <w:tcPr>
            <w:tcW w:w="3827" w:type="dxa"/>
            <w:shd w:val="clear" w:color="auto" w:fill="auto"/>
          </w:tcPr>
          <w:p w14:paraId="347F0A69" w14:textId="617F425A" w:rsidR="0097713D" w:rsidRDefault="0097713D" w:rsidP="0097713D">
            <w:pPr>
              <w:jc w:val="both"/>
              <w:rPr>
                <w:rFonts w:cs="Times New Roman"/>
                <w:b/>
                <w:sz w:val="20"/>
                <w:szCs w:val="20"/>
              </w:rPr>
            </w:pPr>
            <w:r>
              <w:rPr>
                <w:rFonts w:cs="Times New Roman"/>
                <w:b/>
                <w:sz w:val="20"/>
                <w:szCs w:val="20"/>
              </w:rPr>
              <w:lastRenderedPageBreak/>
              <w:t>Sniegts skaidrojums.</w:t>
            </w:r>
          </w:p>
          <w:p w14:paraId="4C34D545" w14:textId="77777777" w:rsidR="0097713D" w:rsidRDefault="0097713D" w:rsidP="0097713D">
            <w:pPr>
              <w:jc w:val="both"/>
              <w:rPr>
                <w:rFonts w:cs="Times New Roman"/>
                <w:bCs/>
                <w:sz w:val="20"/>
                <w:szCs w:val="20"/>
              </w:rPr>
            </w:pPr>
            <w:r w:rsidRPr="0097713D">
              <w:rPr>
                <w:rFonts w:cs="Times New Roman"/>
                <w:bCs/>
                <w:sz w:val="20"/>
                <w:szCs w:val="20"/>
              </w:rPr>
              <w:lastRenderedPageBreak/>
              <w:t xml:space="preserve">Skaidrojam, ka </w:t>
            </w:r>
            <w:r>
              <w:rPr>
                <w:rFonts w:cs="Times New Roman"/>
                <w:bCs/>
                <w:sz w:val="20"/>
                <w:szCs w:val="20"/>
              </w:rPr>
              <w:t xml:space="preserve">minētā metodikas redakcija primāri paredz, ka kvalitātes kritēriju gadījumā minimālo kopējo vērtējumam jābūt vismaz 50% no maksimālā punktu skaita, t.i. no visiem kritēriju komplektā iekļautajiem kvalitātes kritērijiem un kvalitātes kritēriji, var nebūt tieši saistīti ar projektu gatavību būvprojektu u.c. ar būvniecības iecerēm saistītu prasību ietvaros. </w:t>
            </w:r>
          </w:p>
          <w:p w14:paraId="30CCC248" w14:textId="125D36C4" w:rsidR="00716A60" w:rsidRDefault="00716A60" w:rsidP="0097713D">
            <w:pPr>
              <w:jc w:val="both"/>
              <w:rPr>
                <w:rFonts w:cs="Times New Roman"/>
                <w:bCs/>
                <w:sz w:val="20"/>
                <w:szCs w:val="20"/>
              </w:rPr>
            </w:pPr>
            <w:r>
              <w:rPr>
                <w:rFonts w:cs="Times New Roman"/>
                <w:bCs/>
                <w:sz w:val="20"/>
                <w:szCs w:val="20"/>
              </w:rPr>
              <w:t xml:space="preserve">Metodikas redakcija paredz </w:t>
            </w:r>
            <w:r w:rsidRPr="00716A60">
              <w:rPr>
                <w:rFonts w:cs="Times New Roman"/>
                <w:bCs/>
                <w:sz w:val="20"/>
                <w:szCs w:val="20"/>
                <w:u w:val="single"/>
              </w:rPr>
              <w:t>aicinājumu</w:t>
            </w:r>
            <w:r>
              <w:rPr>
                <w:rFonts w:cs="Times New Roman"/>
                <w:bCs/>
                <w:sz w:val="20"/>
                <w:szCs w:val="20"/>
              </w:rPr>
              <w:t xml:space="preserve"> atbildīgās iestādes plānot atlases kritērijus tā, lai būtu iespējams nodrošināt kvalitatīvu</w:t>
            </w:r>
            <w:r w:rsidR="000B6C28">
              <w:rPr>
                <w:rFonts w:cs="Times New Roman"/>
                <w:bCs/>
                <w:sz w:val="20"/>
                <w:szCs w:val="20"/>
              </w:rPr>
              <w:t>,</w:t>
            </w:r>
            <w:r>
              <w:rPr>
                <w:rFonts w:cs="Times New Roman"/>
                <w:bCs/>
                <w:sz w:val="20"/>
                <w:szCs w:val="20"/>
              </w:rPr>
              <w:t xml:space="preserve"> </w:t>
            </w:r>
            <w:r w:rsidR="000B6C28">
              <w:rPr>
                <w:rFonts w:cs="Times New Roman"/>
                <w:bCs/>
                <w:sz w:val="20"/>
                <w:szCs w:val="20"/>
              </w:rPr>
              <w:t>efektīvu un ātri realizējamu</w:t>
            </w:r>
            <w:r>
              <w:rPr>
                <w:rFonts w:cs="Times New Roman"/>
                <w:bCs/>
                <w:sz w:val="20"/>
                <w:szCs w:val="20"/>
              </w:rPr>
              <w:t xml:space="preserve"> projektu iesniegumu apstiprināšanu.</w:t>
            </w:r>
          </w:p>
          <w:p w14:paraId="3979C1C9" w14:textId="77777777" w:rsidR="00B920DE" w:rsidRDefault="00B920DE" w:rsidP="0097713D">
            <w:pPr>
              <w:jc w:val="both"/>
              <w:rPr>
                <w:rFonts w:cs="Times New Roman"/>
                <w:bCs/>
                <w:sz w:val="20"/>
                <w:szCs w:val="20"/>
              </w:rPr>
            </w:pPr>
            <w:r>
              <w:rPr>
                <w:rFonts w:cs="Times New Roman"/>
                <w:bCs/>
                <w:sz w:val="20"/>
                <w:szCs w:val="20"/>
              </w:rPr>
              <w:t xml:space="preserve">Projekta gatavības prasības var ievērojami atšķirties starp dažādiem SAM, ņemot vērā atšķirīgo SAM specifiku, piemēram, tāds projekta iesniegums, kurā ietverta skaidra informācija par plānotajiem iepirkumiem, izstrādātas tehniskās specifikācijas, skaidri un saprotami definētas projekta realizācijai nepieciešamās izmaksu pozīcijas, jo ir veikta tirgus izpēte, cenu aptauja u.tml. tādēļ gatavības prasības ir iekļaujamas primāri kvalitātes kritērijos. </w:t>
            </w:r>
          </w:p>
          <w:p w14:paraId="46CEAF80" w14:textId="77777777" w:rsidR="00B920DE" w:rsidRDefault="00B920DE" w:rsidP="0097713D">
            <w:pPr>
              <w:jc w:val="both"/>
              <w:rPr>
                <w:rFonts w:cs="Times New Roman"/>
                <w:bCs/>
                <w:sz w:val="20"/>
                <w:szCs w:val="20"/>
              </w:rPr>
            </w:pPr>
            <w:r>
              <w:rPr>
                <w:rFonts w:cs="Times New Roman"/>
                <w:bCs/>
                <w:sz w:val="20"/>
                <w:szCs w:val="20"/>
              </w:rPr>
              <w:t>Vēršam uzmanību, ka šī metodika ietver vienotos kritērijus un vienotos izvēles kritērijus un vadošā iestāde nevar definēt kvalitātes kritērijus, kas būtu piemērojami katrā konkrētajā atlasē, ņemot vērā dažādās plānotās investīcijas.</w:t>
            </w:r>
          </w:p>
          <w:p w14:paraId="3B95B3F8" w14:textId="75DF568D" w:rsidR="007F7B97" w:rsidRPr="0097713D" w:rsidRDefault="007F7B97" w:rsidP="007F7B97">
            <w:pPr>
              <w:jc w:val="both"/>
              <w:rPr>
                <w:rFonts w:cs="Times New Roman"/>
                <w:bCs/>
                <w:sz w:val="20"/>
                <w:szCs w:val="20"/>
              </w:rPr>
            </w:pPr>
            <w:r>
              <w:rPr>
                <w:rFonts w:cs="Times New Roman"/>
                <w:bCs/>
                <w:sz w:val="20"/>
                <w:szCs w:val="20"/>
              </w:rPr>
              <w:t>Ņemot vērā minēto, r</w:t>
            </w:r>
            <w:r w:rsidRPr="0097713D">
              <w:rPr>
                <w:rFonts w:cs="Times New Roman"/>
                <w:bCs/>
                <w:sz w:val="20"/>
                <w:szCs w:val="20"/>
              </w:rPr>
              <w:t xml:space="preserve">osinām komentārus </w:t>
            </w:r>
            <w:r>
              <w:rPr>
                <w:rFonts w:cs="Times New Roman"/>
                <w:bCs/>
                <w:sz w:val="20"/>
                <w:szCs w:val="20"/>
              </w:rPr>
              <w:t xml:space="preserve">par specifiskām projekta gatavības prasībām </w:t>
            </w:r>
            <w:r w:rsidRPr="0097713D">
              <w:rPr>
                <w:rFonts w:cs="Times New Roman"/>
                <w:bCs/>
                <w:sz w:val="20"/>
                <w:szCs w:val="20"/>
              </w:rPr>
              <w:t xml:space="preserve">izteikt MK noteikumu </w:t>
            </w:r>
            <w:r>
              <w:rPr>
                <w:rFonts w:cs="Times New Roman"/>
                <w:bCs/>
                <w:sz w:val="20"/>
                <w:szCs w:val="20"/>
              </w:rPr>
              <w:t xml:space="preserve">par SAM īstenošanu un SAM projektu iesniegumu vērtēšanas kritēriju </w:t>
            </w:r>
            <w:r w:rsidRPr="0097713D">
              <w:rPr>
                <w:rFonts w:cs="Times New Roman"/>
                <w:bCs/>
                <w:sz w:val="20"/>
                <w:szCs w:val="20"/>
              </w:rPr>
              <w:t>saskaņošanas ietvaros</w:t>
            </w:r>
            <w:r>
              <w:rPr>
                <w:rFonts w:cs="Times New Roman"/>
                <w:bCs/>
                <w:sz w:val="20"/>
                <w:szCs w:val="20"/>
              </w:rPr>
              <w:t xml:space="preserve"> (MK noteikumu gadījumā – TAP, vērtēšanas kritēriju gadījumā – ES fondu 2021.-2027.gada plānošanas perioda apakškomiteju procesa ietvaros)</w:t>
            </w:r>
            <w:r w:rsidRPr="0097713D">
              <w:rPr>
                <w:rFonts w:cs="Times New Roman"/>
                <w:bCs/>
                <w:sz w:val="20"/>
                <w:szCs w:val="20"/>
              </w:rPr>
              <w:t>.</w:t>
            </w:r>
          </w:p>
        </w:tc>
      </w:tr>
      <w:tr w:rsidR="00AD4BB1" w:rsidRPr="0097713D" w14:paraId="27805661" w14:textId="77777777" w:rsidTr="009F1082">
        <w:trPr>
          <w:trHeight w:val="85"/>
        </w:trPr>
        <w:tc>
          <w:tcPr>
            <w:tcW w:w="562" w:type="dxa"/>
            <w:shd w:val="clear" w:color="auto" w:fill="auto"/>
          </w:tcPr>
          <w:p w14:paraId="02587B59"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1780B2D1" w14:textId="77777777" w:rsidR="00AD4BB1" w:rsidRPr="0097713D" w:rsidRDefault="00AD4BB1" w:rsidP="0097713D">
            <w:pPr>
              <w:tabs>
                <w:tab w:val="left" w:pos="993"/>
              </w:tabs>
              <w:jc w:val="both"/>
              <w:rPr>
                <w:rFonts w:cs="Times New Roman"/>
                <w:b/>
                <w:bCs/>
                <w:sz w:val="20"/>
                <w:szCs w:val="20"/>
              </w:rPr>
            </w:pPr>
            <w:r w:rsidRPr="0097713D">
              <w:rPr>
                <w:rFonts w:cs="Times New Roman"/>
                <w:b/>
                <w:bCs/>
                <w:sz w:val="20"/>
                <w:szCs w:val="20"/>
              </w:rPr>
              <w:t xml:space="preserve">10.1.sadaļa “Horizontālais princips “Vienlīdzība, iekļaušana, </w:t>
            </w:r>
            <w:proofErr w:type="spellStart"/>
            <w:r w:rsidRPr="0097713D">
              <w:rPr>
                <w:rFonts w:cs="Times New Roman"/>
                <w:b/>
                <w:bCs/>
                <w:sz w:val="20"/>
                <w:szCs w:val="20"/>
              </w:rPr>
              <w:t>nediskriminācija</w:t>
            </w:r>
            <w:proofErr w:type="spellEnd"/>
            <w:r w:rsidRPr="0097713D">
              <w:rPr>
                <w:rFonts w:cs="Times New Roman"/>
                <w:b/>
                <w:bCs/>
                <w:sz w:val="20"/>
                <w:szCs w:val="20"/>
              </w:rPr>
              <w:t xml:space="preserve"> un </w:t>
            </w:r>
            <w:proofErr w:type="spellStart"/>
            <w:r w:rsidRPr="0097713D">
              <w:rPr>
                <w:rFonts w:cs="Times New Roman"/>
                <w:b/>
                <w:bCs/>
                <w:sz w:val="20"/>
                <w:szCs w:val="20"/>
              </w:rPr>
              <w:t>pamattiesību</w:t>
            </w:r>
            <w:proofErr w:type="spellEnd"/>
            <w:r w:rsidRPr="0097713D">
              <w:rPr>
                <w:rFonts w:cs="Times New Roman"/>
                <w:b/>
                <w:bCs/>
                <w:sz w:val="20"/>
                <w:szCs w:val="20"/>
              </w:rPr>
              <w:t xml:space="preserve"> ievērošana”</w:t>
            </w:r>
          </w:p>
          <w:p w14:paraId="3F58B938" w14:textId="77777777" w:rsidR="00AD4BB1" w:rsidRPr="0097713D" w:rsidRDefault="00AD4BB1" w:rsidP="0097713D">
            <w:pPr>
              <w:tabs>
                <w:tab w:val="left" w:pos="993"/>
              </w:tabs>
              <w:jc w:val="both"/>
              <w:rPr>
                <w:rFonts w:cs="Times New Roman"/>
                <w:sz w:val="20"/>
                <w:szCs w:val="20"/>
              </w:rPr>
            </w:pPr>
            <w:r w:rsidRPr="0097713D">
              <w:rPr>
                <w:rFonts w:cs="Times New Roman"/>
                <w:sz w:val="20"/>
                <w:szCs w:val="20"/>
              </w:rPr>
              <w:t>Tehniski un redakcionāli precizējumi</w:t>
            </w:r>
          </w:p>
        </w:tc>
        <w:tc>
          <w:tcPr>
            <w:tcW w:w="4820" w:type="dxa"/>
            <w:shd w:val="clear" w:color="auto" w:fill="auto"/>
          </w:tcPr>
          <w:p w14:paraId="49C67A27" w14:textId="77777777" w:rsidR="00AD4BB1" w:rsidRPr="0097713D" w:rsidRDefault="00AD4BB1" w:rsidP="0097713D">
            <w:pPr>
              <w:shd w:val="clear" w:color="auto" w:fill="FFFFFF"/>
              <w:jc w:val="both"/>
              <w:rPr>
                <w:rFonts w:cs="Times New Roman"/>
                <w:b/>
                <w:bCs/>
                <w:sz w:val="20"/>
                <w:szCs w:val="20"/>
              </w:rPr>
            </w:pPr>
            <w:r w:rsidRPr="0097713D">
              <w:rPr>
                <w:rFonts w:cs="Times New Roman"/>
                <w:b/>
                <w:bCs/>
                <w:sz w:val="20"/>
                <w:szCs w:val="20"/>
              </w:rPr>
              <w:t>Labklājības ministrija</w:t>
            </w:r>
          </w:p>
          <w:p w14:paraId="5E48F7B8" w14:textId="77777777" w:rsidR="00AD4BB1" w:rsidRPr="0097713D" w:rsidRDefault="00AD4BB1" w:rsidP="0097713D">
            <w:pPr>
              <w:shd w:val="clear" w:color="auto" w:fill="FFFFFF"/>
              <w:jc w:val="both"/>
              <w:rPr>
                <w:rFonts w:cs="Times New Roman"/>
                <w:sz w:val="20"/>
                <w:szCs w:val="20"/>
              </w:rPr>
            </w:pPr>
            <w:r w:rsidRPr="0097713D">
              <w:rPr>
                <w:rFonts w:cs="Times New Roman"/>
                <w:sz w:val="20"/>
                <w:szCs w:val="20"/>
              </w:rPr>
              <w:t>Rosināti tehniski un redakcionāli precizējumi 10.1.sadaļā.</w:t>
            </w:r>
          </w:p>
        </w:tc>
        <w:tc>
          <w:tcPr>
            <w:tcW w:w="3827" w:type="dxa"/>
            <w:shd w:val="clear" w:color="auto" w:fill="auto"/>
          </w:tcPr>
          <w:p w14:paraId="3054279C"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5DBBC236" w14:textId="77777777" w:rsidTr="009F1082">
        <w:trPr>
          <w:trHeight w:val="85"/>
        </w:trPr>
        <w:tc>
          <w:tcPr>
            <w:tcW w:w="562" w:type="dxa"/>
            <w:shd w:val="clear" w:color="auto" w:fill="auto"/>
          </w:tcPr>
          <w:p w14:paraId="017E7E64"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6CC369D0" w14:textId="77777777" w:rsidR="00AD4BB1" w:rsidRPr="0097713D" w:rsidRDefault="00AD4BB1" w:rsidP="0097713D">
            <w:pPr>
              <w:jc w:val="both"/>
              <w:rPr>
                <w:rFonts w:cs="Times New Roman"/>
                <w:b/>
                <w:bCs/>
                <w:sz w:val="20"/>
                <w:szCs w:val="20"/>
              </w:rPr>
            </w:pPr>
            <w:r w:rsidRPr="0097713D">
              <w:rPr>
                <w:rFonts w:cs="Times New Roman"/>
                <w:b/>
                <w:bCs/>
                <w:sz w:val="20"/>
                <w:szCs w:val="20"/>
              </w:rPr>
              <w:t>10.2.sadaļa “Horizontālais princips “</w:t>
            </w:r>
            <w:proofErr w:type="spellStart"/>
            <w:r w:rsidRPr="0097713D">
              <w:rPr>
                <w:rFonts w:cs="Times New Roman"/>
                <w:b/>
                <w:bCs/>
                <w:sz w:val="20"/>
                <w:szCs w:val="20"/>
              </w:rPr>
              <w:t>Klimatdrošināšana</w:t>
            </w:r>
            <w:proofErr w:type="spellEnd"/>
            <w:r w:rsidRPr="0097713D">
              <w:rPr>
                <w:rFonts w:cs="Times New Roman"/>
                <w:b/>
                <w:bCs/>
                <w:sz w:val="20"/>
                <w:szCs w:val="20"/>
              </w:rPr>
              <w:t>””</w:t>
            </w:r>
          </w:p>
          <w:p w14:paraId="1FBF4634" w14:textId="77777777" w:rsidR="00AD4BB1" w:rsidRPr="0097713D" w:rsidRDefault="00AD4BB1" w:rsidP="0097713D">
            <w:pPr>
              <w:jc w:val="both"/>
              <w:rPr>
                <w:rFonts w:cs="Times New Roman"/>
                <w:b/>
                <w:bCs/>
                <w:sz w:val="20"/>
                <w:szCs w:val="20"/>
              </w:rPr>
            </w:pPr>
            <w:r w:rsidRPr="0097713D">
              <w:rPr>
                <w:rFonts w:cs="Times New Roman"/>
                <w:b/>
                <w:bCs/>
                <w:sz w:val="20"/>
                <w:szCs w:val="20"/>
              </w:rPr>
              <w:t>99.punkts</w:t>
            </w:r>
          </w:p>
          <w:p w14:paraId="07F4FEA7" w14:textId="77777777" w:rsidR="00AD4BB1" w:rsidRPr="0097713D" w:rsidRDefault="00AD4BB1" w:rsidP="0097713D">
            <w:pPr>
              <w:jc w:val="both"/>
              <w:rPr>
                <w:rFonts w:cs="Times New Roman"/>
                <w:sz w:val="20"/>
                <w:szCs w:val="20"/>
              </w:rPr>
            </w:pPr>
            <w:r w:rsidRPr="0097713D">
              <w:rPr>
                <w:rFonts w:cs="Times New Roman"/>
                <w:b/>
                <w:sz w:val="20"/>
                <w:szCs w:val="20"/>
              </w:rPr>
              <w:t xml:space="preserve">Tiešas pozitīvas ietekmes </w:t>
            </w:r>
            <w:r w:rsidRPr="0097713D">
              <w:rPr>
                <w:rFonts w:cs="Times New Roman"/>
                <w:bCs/>
                <w:sz w:val="20"/>
                <w:szCs w:val="20"/>
              </w:rPr>
              <w:t xml:space="preserve">gadījumā </w:t>
            </w:r>
            <w:r w:rsidRPr="0097713D">
              <w:rPr>
                <w:rFonts w:cs="Times New Roman"/>
                <w:sz w:val="20"/>
                <w:szCs w:val="20"/>
              </w:rPr>
              <w:t xml:space="preserve">– tiek </w:t>
            </w:r>
            <w:r w:rsidRPr="0097713D">
              <w:rPr>
                <w:rFonts w:cs="Times New Roman"/>
                <w:b/>
                <w:bCs/>
                <w:sz w:val="20"/>
                <w:szCs w:val="20"/>
              </w:rPr>
              <w:t xml:space="preserve">definēti </w:t>
            </w:r>
            <w:r w:rsidRPr="0097713D">
              <w:rPr>
                <w:rFonts w:cs="Times New Roman"/>
                <w:b/>
                <w:bCs/>
                <w:color w:val="000000"/>
                <w:sz w:val="20"/>
                <w:szCs w:val="20"/>
              </w:rPr>
              <w:t>specifiskie atbilstības kritēriji</w:t>
            </w:r>
            <w:r w:rsidRPr="0097713D">
              <w:rPr>
                <w:rFonts w:cs="Times New Roman"/>
                <w:bCs/>
                <w:color w:val="000000"/>
                <w:sz w:val="20"/>
                <w:szCs w:val="20"/>
              </w:rPr>
              <w:t xml:space="preserve">, </w:t>
            </w:r>
            <w:r w:rsidRPr="0097713D">
              <w:rPr>
                <w:rFonts w:cs="Times New Roman"/>
                <w:sz w:val="20"/>
                <w:szCs w:val="20"/>
              </w:rPr>
              <w:t>kuru neizpildes gadījumā projekta iesniegums ir noraidāms</w:t>
            </w:r>
            <w:r w:rsidRPr="0097713D">
              <w:rPr>
                <w:rStyle w:val="FootnoteReference"/>
                <w:rFonts w:cs="Times New Roman"/>
                <w:sz w:val="20"/>
                <w:szCs w:val="20"/>
              </w:rPr>
              <w:footnoteReference w:id="9"/>
            </w:r>
            <w:r w:rsidRPr="0097713D">
              <w:rPr>
                <w:rFonts w:cs="Times New Roman"/>
                <w:bCs/>
                <w:color w:val="000000"/>
                <w:sz w:val="20"/>
                <w:szCs w:val="20"/>
              </w:rPr>
              <w:t>.</w:t>
            </w:r>
          </w:p>
          <w:p w14:paraId="5CDA0443" w14:textId="77777777" w:rsidR="00AD4BB1" w:rsidRPr="0097713D" w:rsidRDefault="00AD4BB1" w:rsidP="0097713D">
            <w:pPr>
              <w:jc w:val="both"/>
              <w:rPr>
                <w:rFonts w:cs="Times New Roman"/>
                <w:b/>
                <w:bCs/>
                <w:sz w:val="20"/>
                <w:szCs w:val="20"/>
              </w:rPr>
            </w:pPr>
          </w:p>
          <w:p w14:paraId="32E27600" w14:textId="77777777" w:rsidR="00AD4BB1" w:rsidRPr="0097713D" w:rsidRDefault="00AD4BB1" w:rsidP="0097713D">
            <w:pPr>
              <w:jc w:val="both"/>
              <w:rPr>
                <w:rFonts w:cs="Times New Roman"/>
                <w:b/>
                <w:bCs/>
                <w:sz w:val="20"/>
                <w:szCs w:val="20"/>
              </w:rPr>
            </w:pPr>
          </w:p>
        </w:tc>
        <w:tc>
          <w:tcPr>
            <w:tcW w:w="4820" w:type="dxa"/>
            <w:shd w:val="clear" w:color="auto" w:fill="auto"/>
          </w:tcPr>
          <w:p w14:paraId="34D5BAE9" w14:textId="77777777" w:rsidR="00AD4BB1" w:rsidRPr="0097713D" w:rsidRDefault="00AD4BB1" w:rsidP="0097713D">
            <w:pPr>
              <w:jc w:val="both"/>
              <w:rPr>
                <w:rFonts w:cs="Times New Roman"/>
                <w:b/>
                <w:bCs/>
                <w:sz w:val="20"/>
                <w:szCs w:val="20"/>
              </w:rPr>
            </w:pPr>
            <w:r w:rsidRPr="0097713D">
              <w:rPr>
                <w:rFonts w:cs="Times New Roman"/>
                <w:b/>
                <w:bCs/>
                <w:sz w:val="20"/>
                <w:szCs w:val="20"/>
              </w:rPr>
              <w:t>Vides aizsardzības un reģionālās attīstības metodika</w:t>
            </w:r>
          </w:p>
          <w:p w14:paraId="06705F7B" w14:textId="77777777" w:rsidR="00AD4BB1" w:rsidRPr="0097713D" w:rsidRDefault="00AD4BB1" w:rsidP="0097713D">
            <w:pPr>
              <w:jc w:val="both"/>
              <w:rPr>
                <w:rFonts w:cs="Times New Roman"/>
                <w:sz w:val="20"/>
                <w:szCs w:val="20"/>
              </w:rPr>
            </w:pPr>
            <w:r w:rsidRPr="0097713D">
              <w:rPr>
                <w:rFonts w:cs="Times New Roman"/>
                <w:sz w:val="20"/>
                <w:szCs w:val="20"/>
              </w:rPr>
              <w:t>Lai novērstu interpretācijas iespējas un nedublētu jau iepriekš metodikā noteikto, kā arī lai izteiktu skaidru atsauci uz VARAM vadlīniju “Vadlīnijas horizontālā principa “</w:t>
            </w:r>
            <w:proofErr w:type="spellStart"/>
            <w:r w:rsidRPr="0097713D">
              <w:rPr>
                <w:rFonts w:cs="Times New Roman"/>
                <w:sz w:val="20"/>
                <w:szCs w:val="20"/>
              </w:rPr>
              <w:t>Klimatdrošināšana</w:t>
            </w:r>
            <w:proofErr w:type="spellEnd"/>
            <w:r w:rsidRPr="0097713D">
              <w:rPr>
                <w:rFonts w:cs="Times New Roman"/>
                <w:sz w:val="20"/>
                <w:szCs w:val="20"/>
              </w:rPr>
              <w:t>” ieviešanai un uzraudzībai (2021-2027) projektu, lūdzam atlases metodikas 99.punktu izteikt šādā redakcijā:</w:t>
            </w:r>
          </w:p>
          <w:p w14:paraId="7767A31C" w14:textId="6EE1E2EA" w:rsidR="00AD4BB1" w:rsidRPr="0097713D" w:rsidRDefault="00AD4BB1" w:rsidP="0097713D">
            <w:pPr>
              <w:jc w:val="both"/>
              <w:rPr>
                <w:rFonts w:cs="Times New Roman"/>
                <w:b/>
                <w:bCs/>
                <w:sz w:val="20"/>
                <w:szCs w:val="20"/>
              </w:rPr>
            </w:pPr>
            <w:r w:rsidRPr="0097713D">
              <w:rPr>
                <w:rFonts w:cs="Times New Roman"/>
                <w:sz w:val="20"/>
                <w:szCs w:val="20"/>
              </w:rPr>
              <w:t>“99. Atbildīgajām iestādēm tiešas un netiešas pozitīvas ietekmes gadījumā projektu iesniegumu vērtēšanas kritēriju komplektā iekļaut vismaz vienu horizontālā principa “</w:t>
            </w:r>
            <w:proofErr w:type="spellStart"/>
            <w:r w:rsidRPr="0097713D">
              <w:rPr>
                <w:rFonts w:cs="Times New Roman"/>
                <w:sz w:val="20"/>
                <w:szCs w:val="20"/>
              </w:rPr>
              <w:t>Klimatdrošināšana</w:t>
            </w:r>
            <w:proofErr w:type="spellEnd"/>
            <w:r w:rsidRPr="0097713D">
              <w:rPr>
                <w:rFonts w:cs="Times New Roman"/>
                <w:sz w:val="20"/>
                <w:szCs w:val="20"/>
              </w:rPr>
              <w:t>” kritēriju (-s) atbilstoši Vides aizsardzības un reģionālās attīstības ministrijas izstrādātajām vadlīnijām “Vadlīnijas horizontālā principa “</w:t>
            </w:r>
            <w:proofErr w:type="spellStart"/>
            <w:r w:rsidRPr="0097713D">
              <w:rPr>
                <w:rFonts w:cs="Times New Roman"/>
                <w:sz w:val="20"/>
                <w:szCs w:val="20"/>
              </w:rPr>
              <w:t>Klimatdrošināšana</w:t>
            </w:r>
            <w:proofErr w:type="spellEnd"/>
            <w:r w:rsidRPr="0097713D">
              <w:rPr>
                <w:rFonts w:cs="Times New Roman"/>
                <w:sz w:val="20"/>
                <w:szCs w:val="20"/>
              </w:rPr>
              <w:t>” ieviešanai un uzraudzībai (2021-2027).”</w:t>
            </w:r>
          </w:p>
        </w:tc>
        <w:tc>
          <w:tcPr>
            <w:tcW w:w="3827" w:type="dxa"/>
            <w:shd w:val="clear" w:color="auto" w:fill="auto"/>
          </w:tcPr>
          <w:p w14:paraId="5DE9645A"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20C572F3" w14:textId="77777777" w:rsidTr="009F1082">
        <w:trPr>
          <w:trHeight w:val="85"/>
        </w:trPr>
        <w:tc>
          <w:tcPr>
            <w:tcW w:w="562" w:type="dxa"/>
            <w:shd w:val="clear" w:color="auto" w:fill="auto"/>
          </w:tcPr>
          <w:p w14:paraId="07167294"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03364CE5" w14:textId="77777777" w:rsidR="00AD4BB1" w:rsidRPr="0097713D" w:rsidRDefault="00AD4BB1" w:rsidP="0097713D">
            <w:pPr>
              <w:jc w:val="both"/>
              <w:rPr>
                <w:rFonts w:cs="Times New Roman"/>
                <w:b/>
                <w:bCs/>
                <w:sz w:val="20"/>
                <w:szCs w:val="20"/>
              </w:rPr>
            </w:pPr>
            <w:r w:rsidRPr="0097713D">
              <w:rPr>
                <w:rFonts w:cs="Times New Roman"/>
                <w:b/>
                <w:bCs/>
                <w:sz w:val="20"/>
                <w:szCs w:val="20"/>
              </w:rPr>
              <w:t>10.2.sadaļa “Horizontālais princips “</w:t>
            </w:r>
            <w:proofErr w:type="spellStart"/>
            <w:r w:rsidRPr="0097713D">
              <w:rPr>
                <w:rFonts w:cs="Times New Roman"/>
                <w:b/>
                <w:bCs/>
                <w:sz w:val="20"/>
                <w:szCs w:val="20"/>
              </w:rPr>
              <w:t>Klimatdrošināšana</w:t>
            </w:r>
            <w:proofErr w:type="spellEnd"/>
            <w:r w:rsidRPr="0097713D">
              <w:rPr>
                <w:rFonts w:cs="Times New Roman"/>
                <w:b/>
                <w:bCs/>
                <w:sz w:val="20"/>
                <w:szCs w:val="20"/>
              </w:rPr>
              <w:t>””</w:t>
            </w:r>
          </w:p>
          <w:p w14:paraId="55309859" w14:textId="77777777" w:rsidR="00AD4BB1" w:rsidRPr="0097713D" w:rsidRDefault="00AD4BB1" w:rsidP="0097713D">
            <w:pPr>
              <w:jc w:val="both"/>
              <w:rPr>
                <w:rFonts w:cs="Times New Roman"/>
                <w:b/>
                <w:bCs/>
                <w:sz w:val="20"/>
                <w:szCs w:val="20"/>
              </w:rPr>
            </w:pPr>
            <w:r w:rsidRPr="0097713D">
              <w:rPr>
                <w:rFonts w:cs="Times New Roman"/>
                <w:b/>
                <w:bCs/>
                <w:sz w:val="20"/>
                <w:szCs w:val="20"/>
              </w:rPr>
              <w:t>101.punkts</w:t>
            </w:r>
          </w:p>
          <w:p w14:paraId="44518027" w14:textId="77777777" w:rsidR="00AD4BB1" w:rsidRPr="0097713D" w:rsidRDefault="00AD4BB1" w:rsidP="0097713D">
            <w:pPr>
              <w:jc w:val="both"/>
              <w:rPr>
                <w:rFonts w:cs="Times New Roman"/>
                <w:b/>
                <w:bCs/>
                <w:sz w:val="20"/>
                <w:szCs w:val="20"/>
              </w:rPr>
            </w:pPr>
            <w:r w:rsidRPr="0097713D">
              <w:rPr>
                <w:rFonts w:cs="Times New Roman"/>
                <w:bCs/>
                <w:sz w:val="20"/>
                <w:szCs w:val="20"/>
              </w:rPr>
              <w:t xml:space="preserve">Izstrādājot specifiskos atbilstības vai kvalitātes kritērijus nepieciešams izvērtēt iespēju noteikt kritērijus, kas paredzētu </w:t>
            </w:r>
            <w:r w:rsidRPr="0097713D">
              <w:rPr>
                <w:rFonts w:cs="Times New Roman"/>
                <w:b/>
                <w:sz w:val="20"/>
                <w:szCs w:val="20"/>
              </w:rPr>
              <w:t>Zaļā publiskā iepirkuma</w:t>
            </w:r>
            <w:r w:rsidRPr="0097713D">
              <w:rPr>
                <w:rStyle w:val="FootnoteReference"/>
                <w:rFonts w:cs="Times New Roman"/>
                <w:bCs/>
                <w:sz w:val="20"/>
                <w:szCs w:val="20"/>
              </w:rPr>
              <w:footnoteReference w:id="10"/>
            </w:r>
            <w:r w:rsidRPr="0097713D">
              <w:rPr>
                <w:rFonts w:cs="Times New Roman"/>
                <w:bCs/>
                <w:sz w:val="20"/>
                <w:szCs w:val="20"/>
              </w:rPr>
              <w:t xml:space="preserve"> piemērošanu infrastruktūras būvniecības projektos (attiecināms uz gadījumiem, kad ir plānots noteikt nosacījumus, kas pārsniedz nacionālajā horizontālajā regulējumā noteikto prasību ievērošanu).</w:t>
            </w:r>
          </w:p>
        </w:tc>
        <w:tc>
          <w:tcPr>
            <w:tcW w:w="4820" w:type="dxa"/>
            <w:shd w:val="clear" w:color="auto" w:fill="auto"/>
          </w:tcPr>
          <w:p w14:paraId="05AE1F47" w14:textId="77777777" w:rsidR="00AD4BB1" w:rsidRPr="0097713D" w:rsidRDefault="00AD4BB1" w:rsidP="0097713D">
            <w:pPr>
              <w:jc w:val="both"/>
              <w:rPr>
                <w:rFonts w:cs="Times New Roman"/>
                <w:b/>
                <w:bCs/>
                <w:sz w:val="20"/>
                <w:szCs w:val="20"/>
              </w:rPr>
            </w:pPr>
            <w:r w:rsidRPr="0097713D">
              <w:rPr>
                <w:rFonts w:cs="Times New Roman"/>
                <w:b/>
                <w:bCs/>
                <w:sz w:val="20"/>
                <w:szCs w:val="20"/>
              </w:rPr>
              <w:t>Vides aizsardzības un reģionālās attīstības ministrija</w:t>
            </w:r>
          </w:p>
          <w:p w14:paraId="03F2A8BC" w14:textId="77777777" w:rsidR="00AD4BB1" w:rsidRPr="0097713D" w:rsidRDefault="00AD4BB1" w:rsidP="0097713D">
            <w:pPr>
              <w:rPr>
                <w:rFonts w:cs="Times New Roman"/>
                <w:sz w:val="20"/>
                <w:szCs w:val="20"/>
              </w:rPr>
            </w:pPr>
            <w:r w:rsidRPr="0097713D">
              <w:rPr>
                <w:rFonts w:cs="Times New Roman"/>
                <w:sz w:val="20"/>
                <w:szCs w:val="20"/>
              </w:rPr>
              <w:t xml:space="preserve">Lūdzam atlases metodikas 101.punktu pārcelt uz 10.4 sadaļu “Horizontālais princips “Nenodarīt būtisku kaitējumu””, jo “zaļais publiskais iepirkums” ir attiecināms gan uz klimata, gan vides aizsardzības, gan dabas aizsardzības jautājumiem. Vienlaikus ES regulējumā attiecībā uz </w:t>
            </w:r>
            <w:proofErr w:type="spellStart"/>
            <w:r w:rsidRPr="0097713D">
              <w:rPr>
                <w:rFonts w:cs="Times New Roman"/>
                <w:sz w:val="20"/>
                <w:szCs w:val="20"/>
              </w:rPr>
              <w:t>klimatdrošināšanu</w:t>
            </w:r>
            <w:proofErr w:type="spellEnd"/>
            <w:r w:rsidRPr="0097713D">
              <w:rPr>
                <w:rFonts w:cs="Times New Roman"/>
                <w:sz w:val="20"/>
                <w:szCs w:val="20"/>
              </w:rPr>
              <w:t xml:space="preserve"> šāds aspekts neparādās.</w:t>
            </w:r>
          </w:p>
        </w:tc>
        <w:tc>
          <w:tcPr>
            <w:tcW w:w="3827" w:type="dxa"/>
            <w:shd w:val="clear" w:color="auto" w:fill="auto"/>
          </w:tcPr>
          <w:p w14:paraId="0F3FE1C8"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6823A57A" w14:textId="77777777" w:rsidTr="009F1082">
        <w:trPr>
          <w:trHeight w:val="85"/>
        </w:trPr>
        <w:tc>
          <w:tcPr>
            <w:tcW w:w="562" w:type="dxa"/>
            <w:shd w:val="clear" w:color="auto" w:fill="auto"/>
          </w:tcPr>
          <w:p w14:paraId="51D79E15" w14:textId="77777777" w:rsidR="00AD4BB1" w:rsidRPr="0097713D" w:rsidRDefault="00AD4BB1" w:rsidP="0097713D">
            <w:pPr>
              <w:pStyle w:val="ListParagraph"/>
              <w:numPr>
                <w:ilvl w:val="0"/>
                <w:numId w:val="12"/>
              </w:numPr>
              <w:rPr>
                <w:rFonts w:cs="Times New Roman"/>
                <w:bCs/>
                <w:sz w:val="20"/>
                <w:szCs w:val="20"/>
              </w:rPr>
            </w:pPr>
          </w:p>
        </w:tc>
        <w:tc>
          <w:tcPr>
            <w:tcW w:w="4678" w:type="dxa"/>
            <w:vMerge w:val="restart"/>
            <w:shd w:val="clear" w:color="auto" w:fill="auto"/>
          </w:tcPr>
          <w:p w14:paraId="57D8623F" w14:textId="77777777" w:rsidR="00AD4BB1" w:rsidRPr="0097713D" w:rsidRDefault="00AD4BB1" w:rsidP="0097713D">
            <w:pPr>
              <w:jc w:val="both"/>
              <w:rPr>
                <w:rFonts w:cs="Times New Roman"/>
                <w:b/>
                <w:bCs/>
                <w:sz w:val="20"/>
                <w:szCs w:val="20"/>
              </w:rPr>
            </w:pPr>
            <w:r w:rsidRPr="0097713D">
              <w:rPr>
                <w:rFonts w:cs="Times New Roman"/>
                <w:b/>
                <w:bCs/>
                <w:sz w:val="20"/>
                <w:szCs w:val="20"/>
              </w:rPr>
              <w:t>10.2.sadaļa “Horizontālais princips “</w:t>
            </w:r>
            <w:proofErr w:type="spellStart"/>
            <w:r w:rsidRPr="0097713D">
              <w:rPr>
                <w:rFonts w:cs="Times New Roman"/>
                <w:b/>
                <w:bCs/>
                <w:sz w:val="20"/>
                <w:szCs w:val="20"/>
              </w:rPr>
              <w:t>Klimatdrošināšana</w:t>
            </w:r>
            <w:proofErr w:type="spellEnd"/>
            <w:r w:rsidRPr="0097713D">
              <w:rPr>
                <w:rFonts w:cs="Times New Roman"/>
                <w:b/>
                <w:bCs/>
                <w:sz w:val="20"/>
                <w:szCs w:val="20"/>
              </w:rPr>
              <w:t>””</w:t>
            </w:r>
          </w:p>
          <w:p w14:paraId="233DE3D4" w14:textId="77777777" w:rsidR="00AD4BB1" w:rsidRPr="0097713D" w:rsidRDefault="00AD4BB1" w:rsidP="0097713D">
            <w:pPr>
              <w:jc w:val="both"/>
              <w:rPr>
                <w:rFonts w:cs="Times New Roman"/>
                <w:b/>
                <w:bCs/>
                <w:sz w:val="20"/>
                <w:szCs w:val="20"/>
              </w:rPr>
            </w:pPr>
            <w:r w:rsidRPr="0097713D">
              <w:rPr>
                <w:rFonts w:cs="Times New Roman"/>
                <w:b/>
                <w:bCs/>
                <w:sz w:val="20"/>
                <w:szCs w:val="20"/>
              </w:rPr>
              <w:t>102.punkts</w:t>
            </w:r>
          </w:p>
          <w:p w14:paraId="185A06CC" w14:textId="77777777" w:rsidR="00AD4BB1" w:rsidRPr="0097713D" w:rsidRDefault="00AD4BB1" w:rsidP="0097713D">
            <w:pPr>
              <w:jc w:val="both"/>
              <w:rPr>
                <w:rFonts w:cs="Times New Roman"/>
                <w:bCs/>
                <w:sz w:val="20"/>
                <w:szCs w:val="20"/>
              </w:rPr>
            </w:pPr>
            <w:r w:rsidRPr="0097713D">
              <w:rPr>
                <w:rFonts w:cs="Times New Roman"/>
                <w:bCs/>
                <w:sz w:val="20"/>
                <w:szCs w:val="20"/>
              </w:rPr>
              <w:t xml:space="preserve">Gadījumos, kad ir plānotas investīcijas infrastruktūrā, kuru plānotais kalpošanas laiks ir vismaz 5 gadi, tām ir nepieciešams nodrošināt </w:t>
            </w:r>
            <w:proofErr w:type="spellStart"/>
            <w:r w:rsidRPr="0097713D">
              <w:rPr>
                <w:rFonts w:cs="Times New Roman"/>
                <w:bCs/>
                <w:sz w:val="20"/>
                <w:szCs w:val="20"/>
              </w:rPr>
              <w:t>klimatnoturību</w:t>
            </w:r>
            <w:proofErr w:type="spellEnd"/>
            <w:r w:rsidRPr="0097713D">
              <w:rPr>
                <w:rStyle w:val="FootnoteReference"/>
                <w:rFonts w:cs="Times New Roman"/>
                <w:bCs/>
                <w:sz w:val="20"/>
                <w:szCs w:val="20"/>
              </w:rPr>
              <w:footnoteReference w:id="11"/>
            </w:r>
            <w:r w:rsidRPr="0097713D">
              <w:rPr>
                <w:rFonts w:cs="Times New Roman"/>
                <w:bCs/>
                <w:sz w:val="20"/>
                <w:szCs w:val="20"/>
              </w:rPr>
              <w:t xml:space="preserve">, paredzot attiecīgus nosacījumus MK noteikumos par SAM īstenošanu vai attiecīgu specifisko atbilstības kritēriju.  </w:t>
            </w:r>
          </w:p>
          <w:p w14:paraId="50C37E39" w14:textId="77777777" w:rsidR="00AD4BB1" w:rsidRPr="0097713D" w:rsidRDefault="00AD4BB1" w:rsidP="0097713D">
            <w:pPr>
              <w:jc w:val="both"/>
              <w:rPr>
                <w:rFonts w:cs="Times New Roman"/>
                <w:b/>
                <w:bCs/>
                <w:sz w:val="20"/>
                <w:szCs w:val="20"/>
              </w:rPr>
            </w:pPr>
          </w:p>
        </w:tc>
        <w:tc>
          <w:tcPr>
            <w:tcW w:w="4820" w:type="dxa"/>
            <w:shd w:val="clear" w:color="auto" w:fill="auto"/>
          </w:tcPr>
          <w:p w14:paraId="059FFEC2" w14:textId="77777777" w:rsidR="003A6B04" w:rsidRDefault="00AD4BB1" w:rsidP="0097713D">
            <w:pPr>
              <w:jc w:val="both"/>
              <w:rPr>
                <w:rFonts w:cs="Times New Roman"/>
                <w:b/>
                <w:bCs/>
                <w:sz w:val="20"/>
                <w:szCs w:val="20"/>
              </w:rPr>
            </w:pPr>
            <w:r w:rsidRPr="0097713D">
              <w:rPr>
                <w:rFonts w:cs="Times New Roman"/>
                <w:b/>
                <w:bCs/>
                <w:sz w:val="20"/>
                <w:szCs w:val="20"/>
              </w:rPr>
              <w:lastRenderedPageBreak/>
              <w:t>Vides aizsardzības un reģionālās attīstības ministrija</w:t>
            </w:r>
          </w:p>
          <w:p w14:paraId="76CE40CC" w14:textId="6F7E6C9B" w:rsidR="00AD4BB1" w:rsidRPr="0097713D" w:rsidRDefault="00AD4BB1" w:rsidP="0097713D">
            <w:pPr>
              <w:jc w:val="both"/>
              <w:rPr>
                <w:rStyle w:val="cf01"/>
                <w:rFonts w:ascii="Times New Roman" w:hAnsi="Times New Roman" w:cs="Times New Roman"/>
                <w:b/>
                <w:bCs/>
                <w:sz w:val="20"/>
                <w:szCs w:val="20"/>
              </w:rPr>
            </w:pPr>
            <w:r w:rsidRPr="003A6B04">
              <w:rPr>
                <w:rFonts w:cs="Times New Roman"/>
                <w:sz w:val="20"/>
                <w:szCs w:val="20"/>
              </w:rPr>
              <w:t>L</w:t>
            </w:r>
            <w:r w:rsidRPr="0097713D">
              <w:rPr>
                <w:rFonts w:cs="Times New Roman"/>
                <w:sz w:val="20"/>
                <w:szCs w:val="20"/>
              </w:rPr>
              <w:t>ūdzam atlases metodikas 102.punktā vārdu “</w:t>
            </w:r>
            <w:proofErr w:type="spellStart"/>
            <w:r w:rsidRPr="0097713D">
              <w:rPr>
                <w:rFonts w:cs="Times New Roman"/>
                <w:sz w:val="20"/>
                <w:szCs w:val="20"/>
              </w:rPr>
              <w:t>klimatnoturība</w:t>
            </w:r>
            <w:proofErr w:type="spellEnd"/>
            <w:r w:rsidRPr="0097713D">
              <w:rPr>
                <w:rFonts w:cs="Times New Roman"/>
                <w:sz w:val="20"/>
                <w:szCs w:val="20"/>
              </w:rPr>
              <w:t>” aizstāt ar vārdu “</w:t>
            </w:r>
            <w:proofErr w:type="spellStart"/>
            <w:r w:rsidRPr="0097713D">
              <w:rPr>
                <w:rFonts w:cs="Times New Roman"/>
                <w:sz w:val="20"/>
                <w:szCs w:val="20"/>
              </w:rPr>
              <w:t>klimatdrošināšana</w:t>
            </w:r>
            <w:proofErr w:type="spellEnd"/>
            <w:r w:rsidRPr="0097713D">
              <w:rPr>
                <w:rFonts w:cs="Times New Roman"/>
                <w:sz w:val="20"/>
                <w:szCs w:val="20"/>
              </w:rPr>
              <w:t xml:space="preserve">”, jo  </w:t>
            </w:r>
            <w:r w:rsidRPr="0097713D">
              <w:rPr>
                <w:rStyle w:val="cf01"/>
                <w:rFonts w:ascii="Times New Roman" w:hAnsi="Times New Roman" w:cs="Times New Roman"/>
                <w:sz w:val="20"/>
                <w:szCs w:val="20"/>
              </w:rPr>
              <w:t>horizontālā principa “</w:t>
            </w:r>
            <w:proofErr w:type="spellStart"/>
            <w:r w:rsidRPr="0097713D">
              <w:rPr>
                <w:rStyle w:val="cf01"/>
                <w:rFonts w:ascii="Times New Roman" w:hAnsi="Times New Roman" w:cs="Times New Roman"/>
                <w:sz w:val="20"/>
                <w:szCs w:val="20"/>
              </w:rPr>
              <w:t>Klimatdrošināšana</w:t>
            </w:r>
            <w:proofErr w:type="spellEnd"/>
            <w:r w:rsidRPr="0097713D">
              <w:rPr>
                <w:rStyle w:val="cf01"/>
                <w:rFonts w:ascii="Times New Roman" w:hAnsi="Times New Roman" w:cs="Times New Roman"/>
                <w:sz w:val="20"/>
                <w:szCs w:val="20"/>
              </w:rPr>
              <w:t xml:space="preserve"> kontekstā VARAM terminu “</w:t>
            </w:r>
            <w:proofErr w:type="spellStart"/>
            <w:r w:rsidRPr="0097713D">
              <w:rPr>
                <w:rStyle w:val="cf11"/>
                <w:rFonts w:ascii="Times New Roman" w:hAnsi="Times New Roman" w:cs="Times New Roman"/>
                <w:sz w:val="20"/>
                <w:szCs w:val="20"/>
              </w:rPr>
              <w:t>climate</w:t>
            </w:r>
            <w:proofErr w:type="spellEnd"/>
            <w:r w:rsidRPr="0097713D">
              <w:rPr>
                <w:rStyle w:val="cf11"/>
                <w:rFonts w:ascii="Times New Roman" w:hAnsi="Times New Roman" w:cs="Times New Roman"/>
                <w:sz w:val="20"/>
                <w:szCs w:val="20"/>
              </w:rPr>
              <w:t xml:space="preserve"> </w:t>
            </w:r>
            <w:proofErr w:type="spellStart"/>
            <w:r w:rsidRPr="0097713D">
              <w:rPr>
                <w:rStyle w:val="cf11"/>
                <w:rFonts w:ascii="Times New Roman" w:hAnsi="Times New Roman" w:cs="Times New Roman"/>
                <w:sz w:val="20"/>
                <w:szCs w:val="20"/>
              </w:rPr>
              <w:t>proofing</w:t>
            </w:r>
            <w:proofErr w:type="spellEnd"/>
            <w:r w:rsidRPr="0097713D">
              <w:rPr>
                <w:rStyle w:val="cf11"/>
                <w:rFonts w:ascii="Times New Roman" w:hAnsi="Times New Roman" w:cs="Times New Roman"/>
                <w:sz w:val="20"/>
                <w:szCs w:val="20"/>
              </w:rPr>
              <w:t>”</w:t>
            </w:r>
            <w:r w:rsidRPr="0097713D">
              <w:rPr>
                <w:rStyle w:val="cf01"/>
                <w:rFonts w:ascii="Times New Roman" w:hAnsi="Times New Roman" w:cs="Times New Roman"/>
                <w:sz w:val="20"/>
                <w:szCs w:val="20"/>
              </w:rPr>
              <w:t xml:space="preserve"> tulko kā “</w:t>
            </w:r>
            <w:proofErr w:type="spellStart"/>
            <w:r w:rsidRPr="0097713D">
              <w:rPr>
                <w:rStyle w:val="cf01"/>
                <w:rFonts w:ascii="Times New Roman" w:hAnsi="Times New Roman" w:cs="Times New Roman"/>
                <w:sz w:val="20"/>
                <w:szCs w:val="20"/>
              </w:rPr>
              <w:t>klimatdrošināšana</w:t>
            </w:r>
            <w:proofErr w:type="spellEnd"/>
            <w:r w:rsidRPr="0097713D">
              <w:rPr>
                <w:rStyle w:val="cf01"/>
                <w:rFonts w:ascii="Times New Roman" w:hAnsi="Times New Roman" w:cs="Times New Roman"/>
                <w:sz w:val="20"/>
                <w:szCs w:val="20"/>
              </w:rPr>
              <w:t>”, izsakot punktu šādā redakcijā:</w:t>
            </w:r>
          </w:p>
          <w:p w14:paraId="3D422A66" w14:textId="6ACB309A" w:rsidR="00AD4BB1" w:rsidRPr="0097713D" w:rsidRDefault="00AD4BB1" w:rsidP="0097713D">
            <w:pPr>
              <w:jc w:val="both"/>
              <w:rPr>
                <w:rFonts w:cs="Times New Roman"/>
                <w:b/>
                <w:bCs/>
                <w:sz w:val="20"/>
                <w:szCs w:val="20"/>
              </w:rPr>
            </w:pPr>
            <w:r w:rsidRPr="0097713D">
              <w:rPr>
                <w:rFonts w:cs="Times New Roman"/>
                <w:sz w:val="20"/>
                <w:szCs w:val="20"/>
              </w:rPr>
              <w:t xml:space="preserve">“Ja plānotas investīcijas infrastruktūrā, kuru plānotais kalpošanas laiks ir vismaz 5 gadi, tām ir nepieciešams </w:t>
            </w:r>
            <w:r w:rsidRPr="0097713D">
              <w:rPr>
                <w:rFonts w:cs="Times New Roman"/>
                <w:sz w:val="20"/>
                <w:szCs w:val="20"/>
              </w:rPr>
              <w:lastRenderedPageBreak/>
              <w:t xml:space="preserve">nodrošināt </w:t>
            </w:r>
            <w:proofErr w:type="spellStart"/>
            <w:r w:rsidRPr="0097713D">
              <w:rPr>
                <w:rFonts w:cs="Times New Roman"/>
                <w:b/>
                <w:bCs/>
                <w:sz w:val="20"/>
                <w:szCs w:val="20"/>
              </w:rPr>
              <w:t>klimatdrošināšanu</w:t>
            </w:r>
            <w:proofErr w:type="spellEnd"/>
            <w:r w:rsidRPr="0097713D">
              <w:rPr>
                <w:rStyle w:val="FootnoteReference"/>
                <w:rFonts w:cs="Times New Roman"/>
                <w:sz w:val="20"/>
                <w:szCs w:val="20"/>
              </w:rPr>
              <w:footnoteReference w:customMarkFollows="1" w:id="12"/>
              <w:t>[1]</w:t>
            </w:r>
            <w:r w:rsidRPr="0097713D">
              <w:rPr>
                <w:rFonts w:cs="Times New Roman"/>
                <w:sz w:val="20"/>
                <w:szCs w:val="20"/>
              </w:rPr>
              <w:t>, paredzot attiecīgus nosacījumus MK noteikumos par SAM īstenošanu vai attiecīgu specifisko atbilstības kritēriju.”</w:t>
            </w:r>
          </w:p>
        </w:tc>
        <w:tc>
          <w:tcPr>
            <w:tcW w:w="3827" w:type="dxa"/>
            <w:shd w:val="clear" w:color="auto" w:fill="auto"/>
          </w:tcPr>
          <w:p w14:paraId="2E615C6E" w14:textId="77777777" w:rsidR="00AD4BB1" w:rsidRPr="0097713D" w:rsidRDefault="00AD4BB1" w:rsidP="0097713D">
            <w:pPr>
              <w:jc w:val="both"/>
              <w:rPr>
                <w:rFonts w:cs="Times New Roman"/>
                <w:b/>
                <w:sz w:val="20"/>
                <w:szCs w:val="20"/>
              </w:rPr>
            </w:pPr>
            <w:r w:rsidRPr="0097713D">
              <w:rPr>
                <w:rFonts w:cs="Times New Roman"/>
                <w:b/>
                <w:sz w:val="20"/>
                <w:szCs w:val="20"/>
              </w:rPr>
              <w:lastRenderedPageBreak/>
              <w:t>Ņemts vērā.</w:t>
            </w:r>
          </w:p>
        </w:tc>
      </w:tr>
      <w:tr w:rsidR="00AD4BB1" w:rsidRPr="0097713D" w14:paraId="5408014A" w14:textId="77777777" w:rsidTr="009F1082">
        <w:trPr>
          <w:trHeight w:val="85"/>
        </w:trPr>
        <w:tc>
          <w:tcPr>
            <w:tcW w:w="562" w:type="dxa"/>
            <w:shd w:val="clear" w:color="auto" w:fill="auto"/>
          </w:tcPr>
          <w:p w14:paraId="3A901808"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44F6B529" w14:textId="77777777" w:rsidR="00AD4BB1" w:rsidRPr="0097713D" w:rsidRDefault="00AD4BB1" w:rsidP="0097713D">
            <w:pPr>
              <w:jc w:val="both"/>
              <w:rPr>
                <w:rFonts w:cs="Times New Roman"/>
                <w:b/>
                <w:bCs/>
                <w:sz w:val="20"/>
                <w:szCs w:val="20"/>
              </w:rPr>
            </w:pPr>
          </w:p>
        </w:tc>
        <w:tc>
          <w:tcPr>
            <w:tcW w:w="4820" w:type="dxa"/>
            <w:shd w:val="clear" w:color="auto" w:fill="auto"/>
          </w:tcPr>
          <w:p w14:paraId="4790BFF5" w14:textId="77777777" w:rsidR="00AD4BB1" w:rsidRPr="0097713D" w:rsidRDefault="00AD4BB1" w:rsidP="0097713D">
            <w:pPr>
              <w:jc w:val="both"/>
              <w:rPr>
                <w:rFonts w:cs="Times New Roman"/>
                <w:b/>
                <w:bCs/>
                <w:sz w:val="20"/>
                <w:szCs w:val="20"/>
              </w:rPr>
            </w:pPr>
            <w:r w:rsidRPr="0097713D">
              <w:rPr>
                <w:rFonts w:cs="Times New Roman"/>
                <w:b/>
                <w:bCs/>
                <w:sz w:val="20"/>
                <w:szCs w:val="20"/>
              </w:rPr>
              <w:t>Veselības ministrija</w:t>
            </w:r>
          </w:p>
          <w:p w14:paraId="17210095" w14:textId="77777777" w:rsidR="00AD4BB1" w:rsidRPr="0097713D" w:rsidRDefault="00AD4BB1" w:rsidP="0097713D">
            <w:pPr>
              <w:pStyle w:val="xxmsonormal"/>
              <w:shd w:val="clear" w:color="auto" w:fill="FFFFFF"/>
              <w:jc w:val="both"/>
              <w:rPr>
                <w:rFonts w:ascii="Times New Roman" w:hAnsi="Times New Roman" w:cs="Times New Roman"/>
                <w:b/>
                <w:bCs/>
                <w:sz w:val="20"/>
                <w:szCs w:val="20"/>
                <w:lang w:val="lv-LV"/>
              </w:rPr>
            </w:pPr>
            <w:r w:rsidRPr="0097713D">
              <w:rPr>
                <w:rStyle w:val="contentpasted0"/>
                <w:rFonts w:ascii="Times New Roman" w:hAnsi="Times New Roman" w:cs="Times New Roman"/>
                <w:color w:val="000000"/>
                <w:sz w:val="20"/>
                <w:szCs w:val="20"/>
                <w:lang w:val="lv-LV"/>
              </w:rPr>
              <w:t>Nav saprotama kārtība par nosacījumiem, kas Veselības ministrijai kā atbildīgai iestādei ir jāparedz 102. punktā noteiktos gadījumos MK noteikumos par specifisko atbalsta mērķu īstenošanu, lūdzam sniegt detalizētu skaidrojumu par 102. punktā minēto nosacījumu praktisko izpildi, jo no tā ir atkarīgas prasības MK noteikumos, izmaksas finansējuma saņēmējiem, projektu sagatavošanai nepieciešamais laiks, iesaistītās iestādes un iestāžu kapacitāte u.c. Vienlaicīgi aicinām iekļaut 102. punktu kā projektu vērtēšanas kritēriju ar skaidru kritērija piemērošanas skaidrojumu par nosacījuma izpildi, jo nosacījums būs saistošs un piemērojams praktiski visu atbildīgo iestāžu infrastruktūras attīstības projektiem.</w:t>
            </w:r>
          </w:p>
        </w:tc>
        <w:tc>
          <w:tcPr>
            <w:tcW w:w="3827" w:type="dxa"/>
            <w:shd w:val="clear" w:color="auto" w:fill="auto"/>
          </w:tcPr>
          <w:p w14:paraId="69203FED" w14:textId="47014619" w:rsidR="00E272C3" w:rsidRPr="00E272C3" w:rsidRDefault="00E272C3" w:rsidP="007D66F1">
            <w:pPr>
              <w:pStyle w:val="xmsonormal"/>
              <w:spacing w:before="0" w:beforeAutospacing="0" w:after="0" w:afterAutospacing="0"/>
              <w:jc w:val="both"/>
              <w:rPr>
                <w:rFonts w:ascii="Times New Roman" w:hAnsi="Times New Roman" w:cs="Times New Roman"/>
                <w:b/>
                <w:bCs/>
                <w:sz w:val="20"/>
                <w:szCs w:val="20"/>
                <w:lang w:val="lv-LV"/>
              </w:rPr>
            </w:pPr>
            <w:r w:rsidRPr="00E272C3">
              <w:rPr>
                <w:rFonts w:ascii="Times New Roman" w:hAnsi="Times New Roman" w:cs="Times New Roman"/>
                <w:b/>
                <w:bCs/>
                <w:sz w:val="20"/>
                <w:szCs w:val="20"/>
                <w:lang w:val="lv-LV"/>
              </w:rPr>
              <w:t>Ņemts vērā. Sniegts skaidrojums.</w:t>
            </w:r>
          </w:p>
          <w:p w14:paraId="16EAF6E4" w14:textId="35D6DFE2" w:rsidR="00E272C3" w:rsidRDefault="00E272C3" w:rsidP="007D66F1">
            <w:pPr>
              <w:pStyle w:val="xmsonormal"/>
              <w:spacing w:before="0" w:beforeAutospacing="0" w:after="0" w:afterAutospacing="0"/>
              <w:jc w:val="both"/>
              <w:rPr>
                <w:rFonts w:ascii="Times New Roman" w:hAnsi="Times New Roman" w:cs="Times New Roman"/>
                <w:sz w:val="20"/>
                <w:szCs w:val="20"/>
                <w:lang w:val="lv-LV"/>
              </w:rPr>
            </w:pPr>
            <w:r>
              <w:rPr>
                <w:rFonts w:ascii="Times New Roman" w:hAnsi="Times New Roman" w:cs="Times New Roman"/>
                <w:sz w:val="20"/>
                <w:szCs w:val="20"/>
                <w:lang w:val="lv-LV"/>
              </w:rPr>
              <w:t>Skat. precizējumus metodikā.</w:t>
            </w:r>
          </w:p>
          <w:p w14:paraId="569C6901" w14:textId="17975CFC" w:rsidR="005616BD" w:rsidRPr="005616BD" w:rsidRDefault="00E272C3" w:rsidP="007D66F1">
            <w:pPr>
              <w:pStyle w:val="xmsonormal"/>
              <w:spacing w:before="0" w:beforeAutospacing="0" w:after="0" w:afterAutospacing="0"/>
              <w:jc w:val="both"/>
              <w:rPr>
                <w:rFonts w:ascii="Times New Roman" w:hAnsi="Times New Roman" w:cs="Times New Roman"/>
                <w:sz w:val="20"/>
                <w:szCs w:val="20"/>
                <w:lang w:val="lv-LV"/>
              </w:rPr>
            </w:pPr>
            <w:r>
              <w:rPr>
                <w:rFonts w:ascii="Times New Roman" w:hAnsi="Times New Roman" w:cs="Times New Roman"/>
                <w:sz w:val="20"/>
                <w:szCs w:val="20"/>
                <w:lang w:val="lv-LV"/>
              </w:rPr>
              <w:t>Vienlaikus a</w:t>
            </w:r>
            <w:r w:rsidR="005616BD" w:rsidRPr="005616BD">
              <w:rPr>
                <w:rFonts w:ascii="Times New Roman" w:hAnsi="Times New Roman" w:cs="Times New Roman"/>
                <w:sz w:val="20"/>
                <w:szCs w:val="20"/>
                <w:lang w:val="lv-LV"/>
              </w:rPr>
              <w:t xml:space="preserve">ttiecībā uz metodikas 102.punktā ietverto tekstu “attiecīgiem nosacījumiem” </w:t>
            </w:r>
            <w:r>
              <w:rPr>
                <w:rFonts w:ascii="Times New Roman" w:hAnsi="Times New Roman" w:cs="Times New Roman"/>
                <w:sz w:val="20"/>
                <w:szCs w:val="20"/>
                <w:lang w:val="lv-LV"/>
              </w:rPr>
              <w:t xml:space="preserve">skaidrojam, ka </w:t>
            </w:r>
            <w:r w:rsidR="005616BD" w:rsidRPr="005616BD">
              <w:rPr>
                <w:rFonts w:ascii="Times New Roman" w:hAnsi="Times New Roman" w:cs="Times New Roman"/>
                <w:sz w:val="20"/>
                <w:szCs w:val="20"/>
                <w:lang w:val="lv-LV"/>
              </w:rPr>
              <w:t>minētā norma ir ietverta pēc iespējas plašākā tvērumā, t.i., lai atbildīgās ministrijas, atbilstoši to kompetencei, izstrādājot SAM ieviešanas nosacījumus varētu noteikt un ietvert tajos prasības/kritērijus/rādītājus/atsauces un tml. saskaņā ar attiecīgā SAM mērķi un atbalstāmajām darbībām, lai nodrošinātu HP “</w:t>
            </w:r>
            <w:proofErr w:type="spellStart"/>
            <w:r w:rsidR="005616BD" w:rsidRPr="005616BD">
              <w:rPr>
                <w:rFonts w:ascii="Times New Roman" w:hAnsi="Times New Roman" w:cs="Times New Roman"/>
                <w:sz w:val="20"/>
                <w:szCs w:val="20"/>
                <w:lang w:val="lv-LV"/>
              </w:rPr>
              <w:t>Klimatdrošināšana</w:t>
            </w:r>
            <w:proofErr w:type="spellEnd"/>
            <w:r w:rsidR="005616BD" w:rsidRPr="005616BD">
              <w:rPr>
                <w:rFonts w:ascii="Times New Roman" w:hAnsi="Times New Roman" w:cs="Times New Roman"/>
                <w:sz w:val="20"/>
                <w:szCs w:val="20"/>
                <w:lang w:val="lv-LV"/>
              </w:rPr>
              <w:t>” ieviešanu.  </w:t>
            </w:r>
          </w:p>
          <w:p w14:paraId="49754233" w14:textId="77777777" w:rsidR="005616BD" w:rsidRPr="005616BD" w:rsidRDefault="005616BD" w:rsidP="007D66F1">
            <w:pPr>
              <w:pStyle w:val="xmsonormal"/>
              <w:spacing w:before="0" w:beforeAutospacing="0" w:after="0" w:afterAutospacing="0"/>
              <w:jc w:val="both"/>
              <w:rPr>
                <w:rFonts w:ascii="Times New Roman" w:hAnsi="Times New Roman" w:cs="Times New Roman"/>
                <w:sz w:val="20"/>
                <w:szCs w:val="20"/>
                <w:lang w:val="lv-LV"/>
              </w:rPr>
            </w:pPr>
            <w:r w:rsidRPr="005616BD">
              <w:rPr>
                <w:rFonts w:ascii="Times New Roman" w:hAnsi="Times New Roman" w:cs="Times New Roman"/>
                <w:sz w:val="20"/>
                <w:szCs w:val="20"/>
                <w:lang w:val="lv-LV"/>
              </w:rPr>
              <w:t>Termins “</w:t>
            </w:r>
            <w:proofErr w:type="spellStart"/>
            <w:r w:rsidRPr="005616BD">
              <w:rPr>
                <w:rFonts w:ascii="Times New Roman" w:hAnsi="Times New Roman" w:cs="Times New Roman"/>
                <w:sz w:val="20"/>
                <w:szCs w:val="20"/>
                <w:lang w:val="lv-LV"/>
              </w:rPr>
              <w:t>klimatdrošināšana</w:t>
            </w:r>
            <w:proofErr w:type="spellEnd"/>
            <w:r w:rsidRPr="005616BD">
              <w:rPr>
                <w:rFonts w:ascii="Times New Roman" w:hAnsi="Times New Roman" w:cs="Times New Roman"/>
                <w:sz w:val="20"/>
                <w:szCs w:val="20"/>
                <w:lang w:val="lv-LV"/>
              </w:rPr>
              <w:t xml:space="preserve">” pēc būtības sevī ietver divus klimata politikas pīlārus: </w:t>
            </w:r>
          </w:p>
          <w:p w14:paraId="32797B84" w14:textId="77777777" w:rsidR="005616BD" w:rsidRPr="005616BD" w:rsidRDefault="005616BD" w:rsidP="007D66F1">
            <w:pPr>
              <w:pStyle w:val="xmsonormal"/>
              <w:numPr>
                <w:ilvl w:val="0"/>
                <w:numId w:val="19"/>
              </w:numPr>
              <w:spacing w:before="0" w:beforeAutospacing="0" w:after="0" w:afterAutospacing="0"/>
              <w:jc w:val="both"/>
              <w:rPr>
                <w:sz w:val="20"/>
                <w:szCs w:val="20"/>
                <w:lang w:val="lv-LV"/>
              </w:rPr>
            </w:pPr>
            <w:r w:rsidRPr="005616BD">
              <w:rPr>
                <w:rFonts w:ascii="Times New Roman" w:hAnsi="Times New Roman" w:cs="Times New Roman"/>
                <w:sz w:val="20"/>
                <w:szCs w:val="20"/>
                <w:lang w:val="lv-LV"/>
              </w:rPr>
              <w:t>klimata pārmaiņu mazināšanu (siltumnīcefekta gāzu emisiju samazināšanu un CO2 piesaistes palielināšanu) un</w:t>
            </w:r>
          </w:p>
          <w:p w14:paraId="79843A63" w14:textId="77777777" w:rsidR="005616BD" w:rsidRPr="005616BD" w:rsidRDefault="005616BD" w:rsidP="007D66F1">
            <w:pPr>
              <w:pStyle w:val="xmsonormal"/>
              <w:numPr>
                <w:ilvl w:val="0"/>
                <w:numId w:val="19"/>
              </w:numPr>
              <w:spacing w:before="0" w:beforeAutospacing="0" w:after="0" w:afterAutospacing="0"/>
              <w:jc w:val="both"/>
              <w:rPr>
                <w:sz w:val="20"/>
                <w:szCs w:val="20"/>
                <w:lang w:val="lv-LV"/>
              </w:rPr>
            </w:pPr>
            <w:proofErr w:type="spellStart"/>
            <w:r w:rsidRPr="005616BD">
              <w:rPr>
                <w:rFonts w:ascii="Times New Roman" w:hAnsi="Times New Roman" w:cs="Times New Roman"/>
                <w:sz w:val="20"/>
                <w:szCs w:val="20"/>
                <w:lang w:val="lv-LV"/>
              </w:rPr>
              <w:t>klimatnoturīgumu</w:t>
            </w:r>
            <w:proofErr w:type="spellEnd"/>
            <w:r w:rsidRPr="005616BD">
              <w:rPr>
                <w:rFonts w:ascii="Times New Roman" w:hAnsi="Times New Roman" w:cs="Times New Roman"/>
                <w:sz w:val="20"/>
                <w:szCs w:val="20"/>
                <w:lang w:val="lv-LV"/>
              </w:rPr>
              <w:t xml:space="preserve"> (t.sk. pielāgošanos klimata pārmaiņām). </w:t>
            </w:r>
          </w:p>
          <w:p w14:paraId="60C0D416" w14:textId="77777777" w:rsidR="005616BD" w:rsidRPr="005616BD" w:rsidRDefault="005616BD" w:rsidP="007D66F1">
            <w:pPr>
              <w:pStyle w:val="xmsonormal"/>
              <w:spacing w:before="0" w:beforeAutospacing="0" w:after="0" w:afterAutospacing="0"/>
              <w:jc w:val="both"/>
              <w:rPr>
                <w:sz w:val="20"/>
                <w:szCs w:val="20"/>
                <w:lang w:val="lv-LV"/>
              </w:rPr>
            </w:pPr>
            <w:r w:rsidRPr="005616BD">
              <w:rPr>
                <w:rFonts w:ascii="Times New Roman" w:hAnsi="Times New Roman" w:cs="Times New Roman"/>
                <w:sz w:val="20"/>
                <w:szCs w:val="20"/>
                <w:lang w:val="lv-LV"/>
              </w:rPr>
              <w:t>HP “</w:t>
            </w:r>
            <w:proofErr w:type="spellStart"/>
            <w:r w:rsidRPr="005616BD">
              <w:rPr>
                <w:rFonts w:ascii="Times New Roman" w:hAnsi="Times New Roman" w:cs="Times New Roman"/>
                <w:sz w:val="20"/>
                <w:szCs w:val="20"/>
                <w:lang w:val="lv-LV"/>
              </w:rPr>
              <w:t>Klimatdrošināšana</w:t>
            </w:r>
            <w:proofErr w:type="spellEnd"/>
            <w:r w:rsidRPr="005616BD">
              <w:rPr>
                <w:rFonts w:ascii="Times New Roman" w:hAnsi="Times New Roman" w:cs="Times New Roman"/>
                <w:sz w:val="20"/>
                <w:szCs w:val="20"/>
                <w:lang w:val="lv-LV"/>
              </w:rPr>
              <w:t xml:space="preserve">” lielākā vai mazākā mērā būs piemērojams </w:t>
            </w:r>
            <w:proofErr w:type="spellStart"/>
            <w:r w:rsidRPr="005616BD">
              <w:rPr>
                <w:rFonts w:ascii="Times New Roman" w:hAnsi="Times New Roman" w:cs="Times New Roman"/>
                <w:sz w:val="20"/>
                <w:szCs w:val="20"/>
                <w:lang w:val="lv-LV"/>
              </w:rPr>
              <w:t>SAMos</w:t>
            </w:r>
            <w:proofErr w:type="spellEnd"/>
            <w:r w:rsidRPr="005616BD">
              <w:rPr>
                <w:rFonts w:ascii="Times New Roman" w:hAnsi="Times New Roman" w:cs="Times New Roman"/>
                <w:sz w:val="20"/>
                <w:szCs w:val="20"/>
                <w:lang w:val="lv-LV"/>
              </w:rPr>
              <w:t xml:space="preserve"> visos politikas mērķos, līdz ar to pieejas var būt ļoti dažādas un nestandarta, it īpaši kad runa ir par IT projektiem.</w:t>
            </w:r>
          </w:p>
          <w:p w14:paraId="7BCA318F" w14:textId="030DF229" w:rsidR="005616BD" w:rsidRPr="005616BD" w:rsidRDefault="005616BD" w:rsidP="007D66F1">
            <w:pPr>
              <w:jc w:val="both"/>
              <w:rPr>
                <w:rFonts w:cs="Times New Roman"/>
                <w:bCs/>
                <w:sz w:val="20"/>
                <w:szCs w:val="20"/>
                <w:highlight w:val="yellow"/>
              </w:rPr>
            </w:pPr>
            <w:r w:rsidRPr="005616BD">
              <w:rPr>
                <w:rFonts w:cs="Times New Roman"/>
                <w:bCs/>
                <w:sz w:val="20"/>
                <w:szCs w:val="20"/>
              </w:rPr>
              <w:t>VARAM vadlīnijās “Vadlīnijas horizontālā principa “</w:t>
            </w:r>
            <w:proofErr w:type="spellStart"/>
            <w:r w:rsidRPr="005616BD">
              <w:rPr>
                <w:rFonts w:cs="Times New Roman"/>
                <w:bCs/>
                <w:sz w:val="20"/>
                <w:szCs w:val="20"/>
              </w:rPr>
              <w:t>Klimatdrošināšana</w:t>
            </w:r>
            <w:proofErr w:type="spellEnd"/>
            <w:r w:rsidRPr="005616BD">
              <w:rPr>
                <w:rFonts w:cs="Times New Roman"/>
                <w:bCs/>
                <w:sz w:val="20"/>
                <w:szCs w:val="20"/>
              </w:rPr>
              <w:t xml:space="preserve">” ieviešanai un uzraudzībai (2021-2027)”, kuras šobrīd ir saskaņošanas stadijā un visticamāk tiks apstiprinātas un publicētas vai nu šā gada pašās beigās vai nākamā gada janvārī, ir paredzēts sniegt priekšlikumus/piemērus, ko attiecīgās nozaru ministrijas var pielietot izstrādājot </w:t>
            </w:r>
            <w:proofErr w:type="spellStart"/>
            <w:r w:rsidRPr="005616BD">
              <w:rPr>
                <w:rFonts w:cs="Times New Roman"/>
                <w:bCs/>
                <w:sz w:val="20"/>
                <w:szCs w:val="20"/>
              </w:rPr>
              <w:t>kokrētos</w:t>
            </w:r>
            <w:proofErr w:type="spellEnd"/>
            <w:r w:rsidRPr="005616BD">
              <w:rPr>
                <w:rFonts w:cs="Times New Roman"/>
                <w:bCs/>
                <w:sz w:val="20"/>
                <w:szCs w:val="20"/>
              </w:rPr>
              <w:t xml:space="preserve"> </w:t>
            </w:r>
            <w:proofErr w:type="spellStart"/>
            <w:r w:rsidRPr="005616BD">
              <w:rPr>
                <w:rFonts w:cs="Times New Roman"/>
                <w:bCs/>
                <w:sz w:val="20"/>
                <w:szCs w:val="20"/>
              </w:rPr>
              <w:t>SAMus</w:t>
            </w:r>
            <w:proofErr w:type="spellEnd"/>
            <w:r w:rsidRPr="005616BD">
              <w:rPr>
                <w:rFonts w:cs="Times New Roman"/>
                <w:bCs/>
                <w:sz w:val="20"/>
                <w:szCs w:val="20"/>
              </w:rPr>
              <w:t>, lai novērtētu “</w:t>
            </w:r>
            <w:proofErr w:type="spellStart"/>
            <w:r w:rsidRPr="005616BD">
              <w:rPr>
                <w:rFonts w:cs="Times New Roman"/>
                <w:bCs/>
                <w:sz w:val="20"/>
                <w:szCs w:val="20"/>
              </w:rPr>
              <w:t>klimatdrošināšanu</w:t>
            </w:r>
            <w:proofErr w:type="spellEnd"/>
            <w:r w:rsidRPr="005616BD">
              <w:rPr>
                <w:rFonts w:cs="Times New Roman"/>
                <w:bCs/>
                <w:sz w:val="20"/>
                <w:szCs w:val="20"/>
              </w:rPr>
              <w:t>”.</w:t>
            </w:r>
          </w:p>
          <w:p w14:paraId="33A4CAE2" w14:textId="0A6E1FE2" w:rsidR="00AD4BB1" w:rsidRPr="005616BD" w:rsidRDefault="00AD4BB1" w:rsidP="007D66F1">
            <w:pPr>
              <w:jc w:val="both"/>
              <w:rPr>
                <w:rFonts w:cs="Times New Roman"/>
                <w:b/>
                <w:sz w:val="20"/>
                <w:szCs w:val="20"/>
              </w:rPr>
            </w:pPr>
          </w:p>
        </w:tc>
      </w:tr>
      <w:tr w:rsidR="00AD4BB1" w:rsidRPr="0097713D" w14:paraId="5ACF9B2A" w14:textId="77777777" w:rsidTr="009F1082">
        <w:trPr>
          <w:trHeight w:val="85"/>
        </w:trPr>
        <w:tc>
          <w:tcPr>
            <w:tcW w:w="562" w:type="dxa"/>
            <w:shd w:val="clear" w:color="auto" w:fill="auto"/>
          </w:tcPr>
          <w:p w14:paraId="52264EC5" w14:textId="77777777" w:rsidR="00AD4BB1" w:rsidRPr="0097713D" w:rsidRDefault="00AD4BB1" w:rsidP="0097713D">
            <w:pPr>
              <w:pStyle w:val="ListParagraph"/>
              <w:numPr>
                <w:ilvl w:val="0"/>
                <w:numId w:val="12"/>
              </w:numPr>
              <w:rPr>
                <w:rFonts w:cs="Times New Roman"/>
                <w:bCs/>
                <w:sz w:val="20"/>
                <w:szCs w:val="20"/>
              </w:rPr>
            </w:pPr>
          </w:p>
        </w:tc>
        <w:tc>
          <w:tcPr>
            <w:tcW w:w="4678" w:type="dxa"/>
            <w:vMerge w:val="restart"/>
            <w:shd w:val="clear" w:color="auto" w:fill="auto"/>
          </w:tcPr>
          <w:p w14:paraId="22A8C212" w14:textId="77777777" w:rsidR="00AD4BB1" w:rsidRPr="0097713D" w:rsidRDefault="00AD4BB1" w:rsidP="0097713D">
            <w:pPr>
              <w:jc w:val="both"/>
              <w:rPr>
                <w:rFonts w:cs="Times New Roman"/>
                <w:b/>
                <w:bCs/>
                <w:sz w:val="20"/>
                <w:szCs w:val="20"/>
              </w:rPr>
            </w:pPr>
            <w:r w:rsidRPr="0097713D">
              <w:rPr>
                <w:rFonts w:cs="Times New Roman"/>
                <w:b/>
                <w:bCs/>
                <w:sz w:val="20"/>
                <w:szCs w:val="20"/>
              </w:rPr>
              <w:t>2.pielikums “Vienotie kritēriji;   un to piemērošanas skaidrojumi”</w:t>
            </w:r>
          </w:p>
          <w:p w14:paraId="3F29F299" w14:textId="77777777" w:rsidR="00AD4BB1" w:rsidRPr="0097713D" w:rsidRDefault="00AD4BB1" w:rsidP="0097713D">
            <w:pPr>
              <w:jc w:val="both"/>
              <w:rPr>
                <w:rFonts w:cs="Times New Roman"/>
                <w:b/>
                <w:bCs/>
                <w:sz w:val="20"/>
                <w:szCs w:val="20"/>
              </w:rPr>
            </w:pPr>
            <w:r w:rsidRPr="0097713D">
              <w:rPr>
                <w:rFonts w:cs="Times New Roman"/>
                <w:b/>
                <w:bCs/>
                <w:sz w:val="20"/>
                <w:szCs w:val="20"/>
              </w:rPr>
              <w:t>9.kritērijs</w:t>
            </w:r>
          </w:p>
          <w:p w14:paraId="474CAB0D" w14:textId="77777777" w:rsidR="00AD4BB1" w:rsidRPr="0097713D" w:rsidRDefault="00AD4BB1" w:rsidP="0097713D">
            <w:pPr>
              <w:jc w:val="both"/>
              <w:rPr>
                <w:rFonts w:cs="Times New Roman"/>
                <w:b/>
                <w:bCs/>
                <w:sz w:val="20"/>
                <w:szCs w:val="20"/>
              </w:rPr>
            </w:pPr>
          </w:p>
          <w:p w14:paraId="634AF8E6" w14:textId="77777777" w:rsidR="00AD4BB1" w:rsidRPr="0097713D" w:rsidRDefault="00AD4BB1" w:rsidP="0097713D">
            <w:pPr>
              <w:jc w:val="both"/>
              <w:rPr>
                <w:rFonts w:cs="Times New Roman"/>
                <w:sz w:val="20"/>
                <w:szCs w:val="20"/>
              </w:rPr>
            </w:pPr>
            <w:r w:rsidRPr="0097713D">
              <w:rPr>
                <w:rFonts w:cs="Times New Roman"/>
                <w:sz w:val="20"/>
                <w:szCs w:val="20"/>
              </w:rPr>
              <w:t>Projekta iesniegumā plānotie publicitātes un informācijas izplatīšanas pasākumi atbilst  Kopīgo noteikumu regulas</w:t>
            </w:r>
            <w:r w:rsidRPr="0097713D">
              <w:rPr>
                <w:rFonts w:cs="Times New Roman"/>
                <w:sz w:val="20"/>
                <w:szCs w:val="20"/>
                <w:vertAlign w:val="superscript"/>
              </w:rPr>
              <w:footnoteReference w:id="13"/>
            </w:r>
            <w:r w:rsidRPr="0097713D">
              <w:rPr>
                <w:rFonts w:cs="Times New Roman"/>
                <w:sz w:val="20"/>
                <w:szCs w:val="20"/>
              </w:rPr>
              <w:t xml:space="preserve"> 50.pantā, Ministru kabineta 2022.gada </w:t>
            </w:r>
            <w:r w:rsidRPr="0097713D">
              <w:rPr>
                <w:rFonts w:cs="Times New Roman"/>
                <w:sz w:val="20"/>
                <w:szCs w:val="20"/>
                <w:highlight w:val="yellow"/>
              </w:rPr>
              <w:t>XX</w:t>
            </w:r>
            <w:r w:rsidRPr="0097713D">
              <w:rPr>
                <w:rFonts w:cs="Times New Roman"/>
                <w:sz w:val="20"/>
                <w:szCs w:val="20"/>
              </w:rPr>
              <w:t>.</w:t>
            </w:r>
            <w:r w:rsidRPr="0097713D">
              <w:rPr>
                <w:rFonts w:cs="Times New Roman"/>
                <w:sz w:val="20"/>
                <w:szCs w:val="20"/>
                <w:highlight w:val="yellow"/>
              </w:rPr>
              <w:t>XXXX</w:t>
            </w:r>
            <w:r w:rsidRPr="0097713D">
              <w:rPr>
                <w:rFonts w:cs="Times New Roman"/>
                <w:sz w:val="20"/>
                <w:szCs w:val="20"/>
              </w:rPr>
              <w:t xml:space="preserve"> noteikumos </w:t>
            </w:r>
            <w:proofErr w:type="spellStart"/>
            <w:r w:rsidRPr="0097713D">
              <w:rPr>
                <w:rFonts w:cs="Times New Roman"/>
                <w:sz w:val="20"/>
                <w:szCs w:val="20"/>
              </w:rPr>
              <w:t>Nr.</w:t>
            </w:r>
            <w:r w:rsidRPr="0097713D">
              <w:rPr>
                <w:rFonts w:cs="Times New Roman"/>
                <w:sz w:val="20"/>
                <w:szCs w:val="20"/>
                <w:highlight w:val="yellow"/>
              </w:rPr>
              <w:t>XX</w:t>
            </w:r>
            <w:proofErr w:type="spellEnd"/>
            <w:r w:rsidRPr="0097713D">
              <w:rPr>
                <w:rFonts w:cs="Times New Roman"/>
                <w:sz w:val="20"/>
                <w:szCs w:val="20"/>
              </w:rPr>
              <w:t xml:space="preserve"> “Kārtība, kādā Eiropas Savienības fondu vadībā iesaistītās institūcijas nodrošina šo fondu ieviešanu 2021.–2027.gada plānošanas periodā” un </w:t>
            </w:r>
            <w:r w:rsidRPr="0097713D">
              <w:rPr>
                <w:rFonts w:cs="Times New Roman"/>
                <w:sz w:val="20"/>
                <w:szCs w:val="20"/>
                <w:lang w:eastAsia="lv-LV"/>
              </w:rPr>
              <w:t xml:space="preserve"> </w:t>
            </w:r>
            <w:r w:rsidRPr="0097713D">
              <w:rPr>
                <w:rFonts w:cs="Times New Roman"/>
                <w:sz w:val="20"/>
                <w:szCs w:val="20"/>
              </w:rPr>
              <w:t>Eiropas Savienības fondu 2021.–2027. gada plānošanas perioda un Atveseļošanas fonda komunikācijas un dizaina vadlīnijās noteiktajam.</w:t>
            </w:r>
          </w:p>
          <w:p w14:paraId="4E3B6DF7" w14:textId="77777777" w:rsidR="00AD4BB1" w:rsidRPr="0097713D" w:rsidRDefault="00AD4BB1" w:rsidP="0097713D">
            <w:pPr>
              <w:jc w:val="both"/>
              <w:rPr>
                <w:rFonts w:cs="Times New Roman"/>
                <w:sz w:val="20"/>
                <w:szCs w:val="20"/>
              </w:rPr>
            </w:pPr>
          </w:p>
          <w:p w14:paraId="58F67179" w14:textId="77777777" w:rsidR="00AD4BB1" w:rsidRPr="0097713D" w:rsidRDefault="00AD4BB1" w:rsidP="0097713D">
            <w:pPr>
              <w:jc w:val="both"/>
              <w:rPr>
                <w:rFonts w:cs="Times New Roman"/>
                <w:b/>
                <w:bCs/>
                <w:sz w:val="20"/>
                <w:szCs w:val="20"/>
              </w:rPr>
            </w:pPr>
            <w:r w:rsidRPr="0097713D">
              <w:rPr>
                <w:rFonts w:cs="Times New Roman"/>
                <w:b/>
                <w:bCs/>
                <w:sz w:val="20"/>
                <w:szCs w:val="20"/>
              </w:rPr>
              <w:t>Vienotais piemērošanas skaidrojums.</w:t>
            </w:r>
          </w:p>
          <w:p w14:paraId="016C1982" w14:textId="77777777" w:rsidR="00AD4BB1" w:rsidRPr="0097713D" w:rsidRDefault="00AD4BB1" w:rsidP="0097713D">
            <w:pPr>
              <w:rPr>
                <w:rFonts w:cs="Times New Roman"/>
                <w:sz w:val="20"/>
                <w:szCs w:val="20"/>
              </w:rPr>
            </w:pPr>
            <w:r w:rsidRPr="0097713D">
              <w:rPr>
                <w:rFonts w:cs="Times New Roman"/>
                <w:sz w:val="20"/>
                <w:szCs w:val="20"/>
              </w:rPr>
              <w:t xml:space="preserve">Vērtējums ir </w:t>
            </w:r>
            <w:r w:rsidRPr="0097713D">
              <w:rPr>
                <w:rFonts w:cs="Times New Roman"/>
                <w:b/>
                <w:bCs/>
                <w:sz w:val="20"/>
                <w:szCs w:val="20"/>
              </w:rPr>
              <w:t>“Jā”,</w:t>
            </w:r>
            <w:r w:rsidRPr="0097713D">
              <w:rPr>
                <w:rFonts w:cs="Times New Roman"/>
                <w:sz w:val="20"/>
                <w:szCs w:val="20"/>
              </w:rPr>
              <w:t xml:space="preserve"> ja projekta iesniegumā paredzēts: </w:t>
            </w:r>
          </w:p>
          <w:p w14:paraId="2B1B4EF1" w14:textId="77777777" w:rsidR="00AD4BB1" w:rsidRPr="0097713D" w:rsidRDefault="00AD4BB1" w:rsidP="0097713D">
            <w:pPr>
              <w:jc w:val="both"/>
              <w:rPr>
                <w:rFonts w:cs="Times New Roman"/>
                <w:b/>
                <w:bCs/>
                <w:sz w:val="20"/>
                <w:szCs w:val="20"/>
              </w:rPr>
            </w:pPr>
            <w:r w:rsidRPr="0097713D">
              <w:rPr>
                <w:rFonts w:cs="Times New Roman"/>
                <w:sz w:val="20"/>
                <w:szCs w:val="20"/>
              </w:rPr>
              <w:t xml:space="preserve">projekta iesniedzēja oficiālajā tīmekļa vietnē, ja šāda vietne ir, un sociālo mediju vietnēs plānots </w:t>
            </w:r>
            <w:r w:rsidRPr="0097713D">
              <w:rPr>
                <w:rFonts w:cs="Times New Roman"/>
                <w:b/>
                <w:bCs/>
                <w:sz w:val="20"/>
                <w:szCs w:val="20"/>
              </w:rPr>
              <w:t>publicēt īsu un ar atbalsta apjomu samērīgu aprakstu par projektu</w:t>
            </w:r>
            <w:r w:rsidRPr="0097713D">
              <w:rPr>
                <w:rFonts w:cs="Times New Roman"/>
                <w:sz w:val="20"/>
                <w:szCs w:val="20"/>
              </w:rPr>
              <w:t>, tostarp tā mērķiem un rezultātiem, un norādi, ka projekts līdzfinansēts ar Eiropas Savienības saņemtu finansiālu atbalstu..</w:t>
            </w:r>
          </w:p>
          <w:p w14:paraId="51B04EAA" w14:textId="77777777" w:rsidR="00AD4BB1" w:rsidRPr="0097713D" w:rsidRDefault="00AD4BB1" w:rsidP="0097713D">
            <w:pPr>
              <w:jc w:val="both"/>
              <w:rPr>
                <w:rFonts w:cs="Times New Roman"/>
                <w:b/>
                <w:bCs/>
                <w:sz w:val="20"/>
                <w:szCs w:val="20"/>
              </w:rPr>
            </w:pPr>
          </w:p>
        </w:tc>
        <w:tc>
          <w:tcPr>
            <w:tcW w:w="4820" w:type="dxa"/>
            <w:shd w:val="clear" w:color="auto" w:fill="auto"/>
          </w:tcPr>
          <w:p w14:paraId="73C6B04D" w14:textId="77777777" w:rsidR="00AD4BB1" w:rsidRPr="0097713D" w:rsidRDefault="00AD4BB1" w:rsidP="0097713D">
            <w:pPr>
              <w:jc w:val="both"/>
              <w:rPr>
                <w:rFonts w:cs="Times New Roman"/>
                <w:b/>
                <w:bCs/>
                <w:sz w:val="20"/>
                <w:szCs w:val="20"/>
              </w:rPr>
            </w:pPr>
            <w:r w:rsidRPr="0097713D">
              <w:rPr>
                <w:rFonts w:cs="Times New Roman"/>
                <w:b/>
                <w:bCs/>
                <w:sz w:val="20"/>
                <w:szCs w:val="20"/>
              </w:rPr>
              <w:t>Vides aizsardzības un reģionālās attīstības ministrija</w:t>
            </w:r>
          </w:p>
          <w:p w14:paraId="286668B8" w14:textId="77777777" w:rsidR="00AD4BB1" w:rsidRPr="0097713D" w:rsidRDefault="00AD4BB1" w:rsidP="0097713D">
            <w:pPr>
              <w:jc w:val="both"/>
              <w:rPr>
                <w:rFonts w:cs="Times New Roman"/>
                <w:b/>
                <w:bCs/>
                <w:sz w:val="20"/>
                <w:szCs w:val="20"/>
              </w:rPr>
            </w:pPr>
            <w:r w:rsidRPr="0097713D">
              <w:rPr>
                <w:rFonts w:eastAsia="Times New Roman" w:cs="Times New Roman"/>
                <w:sz w:val="20"/>
                <w:szCs w:val="20"/>
              </w:rPr>
              <w:t>Lūdzam atlases metodikas 2.pielikumā redakcionāli precizēt 9.vienotā kritērija piemērošanas skaidrojumu par publicitātes prasībām pirmo apakšpunktu šādā redakcija “</w:t>
            </w:r>
            <w:r w:rsidRPr="0097713D">
              <w:rPr>
                <w:rFonts w:eastAsia="Times New Roman" w:cs="Times New Roman"/>
                <w:i/>
                <w:iCs/>
                <w:sz w:val="20"/>
                <w:szCs w:val="20"/>
              </w:rPr>
              <w:t xml:space="preserve">projekta iesniedzēja oficiālajā tīmekļa vietnē un </w:t>
            </w:r>
            <w:r w:rsidRPr="0097713D">
              <w:rPr>
                <w:rFonts w:eastAsia="Times New Roman" w:cs="Times New Roman"/>
                <w:b/>
                <w:bCs/>
                <w:i/>
                <w:iCs/>
                <w:sz w:val="20"/>
                <w:szCs w:val="20"/>
              </w:rPr>
              <w:t>sociālo mediju vietnēs,</w:t>
            </w:r>
            <w:r w:rsidRPr="0097713D">
              <w:rPr>
                <w:rFonts w:eastAsia="Times New Roman" w:cs="Times New Roman"/>
                <w:i/>
                <w:iCs/>
                <w:sz w:val="20"/>
                <w:szCs w:val="20"/>
              </w:rPr>
              <w:t xml:space="preserve"> </w:t>
            </w:r>
            <w:r w:rsidRPr="0097713D">
              <w:rPr>
                <w:rFonts w:eastAsia="Times New Roman" w:cs="Times New Roman"/>
                <w:b/>
                <w:bCs/>
                <w:i/>
                <w:iCs/>
                <w:sz w:val="20"/>
                <w:szCs w:val="20"/>
              </w:rPr>
              <w:t>ja šādas vietnes ir</w:t>
            </w:r>
            <w:r w:rsidRPr="0097713D">
              <w:rPr>
                <w:rFonts w:eastAsia="Times New Roman" w:cs="Times New Roman"/>
                <w:i/>
                <w:iCs/>
                <w:sz w:val="20"/>
                <w:szCs w:val="20"/>
              </w:rPr>
              <w:t>, plānots publicēt īsu un ar atbalsta apjomu samērīgu aprakstu par projektu, tostarp tā mērķiem un rezultātiem, un norādi, ka projekts līdzfinansēts ar Eiropas Savienības saņemtu finansiālu atbalstu</w:t>
            </w:r>
            <w:r w:rsidRPr="0097713D">
              <w:rPr>
                <w:rFonts w:eastAsia="Times New Roman" w:cs="Times New Roman"/>
                <w:sz w:val="20"/>
                <w:szCs w:val="20"/>
              </w:rPr>
              <w:t>”, tādējādi neuzliekot par pienākumu obligāti visiem finansējuma saņēmējiem nodrošināt vietnes sociālajos medijos; ..</w:t>
            </w:r>
          </w:p>
        </w:tc>
        <w:tc>
          <w:tcPr>
            <w:tcW w:w="3827" w:type="dxa"/>
            <w:shd w:val="clear" w:color="auto" w:fill="auto"/>
          </w:tcPr>
          <w:p w14:paraId="45267368" w14:textId="77777777" w:rsidR="000A44B2" w:rsidRDefault="000A44B2" w:rsidP="0097713D">
            <w:pPr>
              <w:jc w:val="both"/>
              <w:rPr>
                <w:rFonts w:cs="Times New Roman"/>
                <w:b/>
                <w:sz w:val="20"/>
                <w:szCs w:val="20"/>
              </w:rPr>
            </w:pPr>
            <w:r>
              <w:rPr>
                <w:rFonts w:cs="Times New Roman"/>
                <w:b/>
                <w:sz w:val="20"/>
                <w:szCs w:val="20"/>
              </w:rPr>
              <w:t>Nav ņemts vērā. Sniegts skaidrojums.</w:t>
            </w:r>
          </w:p>
          <w:p w14:paraId="5DB0358A" w14:textId="64D3865F" w:rsidR="000A44B2" w:rsidRDefault="000A44B2" w:rsidP="000A44B2">
            <w:pPr>
              <w:jc w:val="both"/>
              <w:rPr>
                <w:rFonts w:cs="Times New Roman"/>
                <w:bCs/>
                <w:sz w:val="20"/>
                <w:szCs w:val="20"/>
              </w:rPr>
            </w:pPr>
            <w:r>
              <w:rPr>
                <w:rFonts w:cs="Times New Roman"/>
                <w:bCs/>
                <w:sz w:val="20"/>
                <w:szCs w:val="20"/>
              </w:rPr>
              <w:t>Skaidrojam, ka kritērija piemērošanas skaidrojumā iekļautā redakcija atbilst K</w:t>
            </w:r>
            <w:r w:rsidR="00902E2C">
              <w:rPr>
                <w:rFonts w:cs="Times New Roman"/>
                <w:bCs/>
                <w:sz w:val="20"/>
                <w:szCs w:val="20"/>
              </w:rPr>
              <w:t>opīgo noteikumu regulā</w:t>
            </w:r>
            <w:r>
              <w:rPr>
                <w:rFonts w:cs="Times New Roman"/>
                <w:bCs/>
                <w:sz w:val="20"/>
                <w:szCs w:val="20"/>
              </w:rPr>
              <w:t xml:space="preserve"> noteiktajai (“s</w:t>
            </w:r>
            <w:r w:rsidRPr="000A44B2">
              <w:rPr>
                <w:rFonts w:cs="Times New Roman"/>
                <w:bCs/>
                <w:sz w:val="20"/>
                <w:szCs w:val="20"/>
              </w:rPr>
              <w:t>aņēmēja oficiālajā tīmekļa vietnē, ja šāda vietne ir, un sociālo mediju vietnēs</w:t>
            </w:r>
            <w:r>
              <w:rPr>
                <w:rFonts w:cs="Times New Roman"/>
                <w:bCs/>
                <w:sz w:val="20"/>
                <w:szCs w:val="20"/>
              </w:rPr>
              <w:t xml:space="preserve">..”; </w:t>
            </w:r>
            <w:r>
              <w:rPr>
                <w:rFonts w:cs="Times New Roman"/>
                <w:bCs/>
                <w:i/>
                <w:iCs/>
                <w:sz w:val="20"/>
                <w:szCs w:val="20"/>
              </w:rPr>
              <w:t>“</w:t>
            </w:r>
            <w:proofErr w:type="spellStart"/>
            <w:r w:rsidRPr="000A44B2">
              <w:rPr>
                <w:rFonts w:cs="Times New Roman"/>
                <w:bCs/>
                <w:i/>
                <w:iCs/>
                <w:sz w:val="20"/>
                <w:szCs w:val="20"/>
              </w:rPr>
              <w:t>providing</w:t>
            </w:r>
            <w:proofErr w:type="spellEnd"/>
            <w:r w:rsidRPr="000A44B2">
              <w:rPr>
                <w:rFonts w:cs="Times New Roman"/>
                <w:bCs/>
                <w:i/>
                <w:iCs/>
                <w:sz w:val="20"/>
                <w:szCs w:val="20"/>
              </w:rPr>
              <w:t xml:space="preserve"> </w:t>
            </w:r>
            <w:proofErr w:type="spellStart"/>
            <w:r w:rsidRPr="000A44B2">
              <w:rPr>
                <w:rFonts w:cs="Times New Roman"/>
                <w:bCs/>
                <w:i/>
                <w:iCs/>
                <w:sz w:val="20"/>
                <w:szCs w:val="20"/>
              </w:rPr>
              <w:t>on</w:t>
            </w:r>
            <w:proofErr w:type="spellEnd"/>
            <w:r w:rsidRPr="000A44B2">
              <w:rPr>
                <w:rFonts w:cs="Times New Roman"/>
                <w:bCs/>
                <w:i/>
                <w:iCs/>
                <w:sz w:val="20"/>
                <w:szCs w:val="20"/>
              </w:rPr>
              <w:t xml:space="preserve"> </w:t>
            </w:r>
            <w:proofErr w:type="spellStart"/>
            <w:r w:rsidRPr="000A44B2">
              <w:rPr>
                <w:rFonts w:cs="Times New Roman"/>
                <w:bCs/>
                <w:i/>
                <w:iCs/>
                <w:sz w:val="20"/>
                <w:szCs w:val="20"/>
              </w:rPr>
              <w:t>the</w:t>
            </w:r>
            <w:proofErr w:type="spellEnd"/>
            <w:r w:rsidRPr="000A44B2">
              <w:rPr>
                <w:rFonts w:cs="Times New Roman"/>
                <w:bCs/>
                <w:i/>
                <w:iCs/>
                <w:sz w:val="20"/>
                <w:szCs w:val="20"/>
              </w:rPr>
              <w:t xml:space="preserve"> </w:t>
            </w:r>
            <w:proofErr w:type="spellStart"/>
            <w:r w:rsidRPr="000A44B2">
              <w:rPr>
                <w:rFonts w:cs="Times New Roman"/>
                <w:bCs/>
                <w:i/>
                <w:iCs/>
                <w:sz w:val="20"/>
                <w:szCs w:val="20"/>
              </w:rPr>
              <w:t>beneficiary’s</w:t>
            </w:r>
            <w:proofErr w:type="spellEnd"/>
            <w:r w:rsidRPr="000A44B2">
              <w:rPr>
                <w:rFonts w:cs="Times New Roman"/>
                <w:bCs/>
                <w:i/>
                <w:iCs/>
                <w:sz w:val="20"/>
                <w:szCs w:val="20"/>
              </w:rPr>
              <w:t xml:space="preserve"> </w:t>
            </w:r>
            <w:proofErr w:type="spellStart"/>
            <w:r w:rsidRPr="000A44B2">
              <w:rPr>
                <w:rFonts w:cs="Times New Roman"/>
                <w:bCs/>
                <w:i/>
                <w:iCs/>
                <w:sz w:val="20"/>
                <w:szCs w:val="20"/>
              </w:rPr>
              <w:t>official</w:t>
            </w:r>
            <w:proofErr w:type="spellEnd"/>
            <w:r w:rsidRPr="000A44B2">
              <w:rPr>
                <w:rFonts w:cs="Times New Roman"/>
                <w:bCs/>
                <w:i/>
                <w:iCs/>
                <w:sz w:val="20"/>
                <w:szCs w:val="20"/>
              </w:rPr>
              <w:t xml:space="preserve"> </w:t>
            </w:r>
            <w:proofErr w:type="spellStart"/>
            <w:r w:rsidRPr="000A44B2">
              <w:rPr>
                <w:rFonts w:cs="Times New Roman"/>
                <w:bCs/>
                <w:i/>
                <w:iCs/>
                <w:sz w:val="20"/>
                <w:szCs w:val="20"/>
              </w:rPr>
              <w:t>website</w:t>
            </w:r>
            <w:proofErr w:type="spellEnd"/>
            <w:r w:rsidRPr="000A44B2">
              <w:rPr>
                <w:rFonts w:cs="Times New Roman"/>
                <w:bCs/>
                <w:i/>
                <w:iCs/>
                <w:sz w:val="20"/>
                <w:szCs w:val="20"/>
              </w:rPr>
              <w:t xml:space="preserve">, </w:t>
            </w:r>
            <w:proofErr w:type="spellStart"/>
            <w:r w:rsidRPr="000A44B2">
              <w:rPr>
                <w:rFonts w:cs="Times New Roman"/>
                <w:bCs/>
                <w:i/>
                <w:iCs/>
                <w:sz w:val="20"/>
                <w:szCs w:val="20"/>
              </w:rPr>
              <w:t>where</w:t>
            </w:r>
            <w:proofErr w:type="spellEnd"/>
            <w:r w:rsidRPr="000A44B2">
              <w:rPr>
                <w:rFonts w:cs="Times New Roman"/>
                <w:bCs/>
                <w:i/>
                <w:iCs/>
                <w:sz w:val="20"/>
                <w:szCs w:val="20"/>
              </w:rPr>
              <w:t xml:space="preserve"> </w:t>
            </w:r>
            <w:proofErr w:type="spellStart"/>
            <w:r w:rsidRPr="000A44B2">
              <w:rPr>
                <w:rFonts w:cs="Times New Roman"/>
                <w:bCs/>
                <w:i/>
                <w:iCs/>
                <w:sz w:val="20"/>
                <w:szCs w:val="20"/>
              </w:rPr>
              <w:t>such</w:t>
            </w:r>
            <w:proofErr w:type="spellEnd"/>
            <w:r w:rsidRPr="000A44B2">
              <w:rPr>
                <w:rFonts w:cs="Times New Roman"/>
                <w:bCs/>
                <w:i/>
                <w:iCs/>
                <w:sz w:val="20"/>
                <w:szCs w:val="20"/>
              </w:rPr>
              <w:t xml:space="preserve"> a </w:t>
            </w:r>
            <w:proofErr w:type="spellStart"/>
            <w:r w:rsidRPr="000A44B2">
              <w:rPr>
                <w:rFonts w:cs="Times New Roman"/>
                <w:bCs/>
                <w:i/>
                <w:iCs/>
                <w:sz w:val="20"/>
                <w:szCs w:val="20"/>
              </w:rPr>
              <w:t>site</w:t>
            </w:r>
            <w:proofErr w:type="spellEnd"/>
            <w:r w:rsidRPr="000A44B2">
              <w:rPr>
                <w:rFonts w:cs="Times New Roman"/>
                <w:bCs/>
                <w:i/>
                <w:iCs/>
                <w:sz w:val="20"/>
                <w:szCs w:val="20"/>
              </w:rPr>
              <w:t xml:space="preserve"> </w:t>
            </w:r>
            <w:proofErr w:type="spellStart"/>
            <w:r w:rsidRPr="000A44B2">
              <w:rPr>
                <w:rFonts w:cs="Times New Roman"/>
                <w:bCs/>
                <w:i/>
                <w:iCs/>
                <w:sz w:val="20"/>
                <w:szCs w:val="20"/>
              </w:rPr>
              <w:t>exists</w:t>
            </w:r>
            <w:proofErr w:type="spellEnd"/>
            <w:r w:rsidRPr="000A44B2">
              <w:rPr>
                <w:rFonts w:cs="Times New Roman"/>
                <w:bCs/>
                <w:i/>
                <w:iCs/>
                <w:sz w:val="20"/>
                <w:szCs w:val="20"/>
              </w:rPr>
              <w:t xml:space="preserve">, </w:t>
            </w:r>
            <w:proofErr w:type="spellStart"/>
            <w:r w:rsidRPr="000A44B2">
              <w:rPr>
                <w:rFonts w:cs="Times New Roman"/>
                <w:bCs/>
                <w:i/>
                <w:iCs/>
                <w:sz w:val="20"/>
                <w:szCs w:val="20"/>
              </w:rPr>
              <w:t>and</w:t>
            </w:r>
            <w:proofErr w:type="spellEnd"/>
            <w:r w:rsidRPr="000A44B2">
              <w:rPr>
                <w:rFonts w:cs="Times New Roman"/>
                <w:bCs/>
                <w:i/>
                <w:iCs/>
                <w:sz w:val="20"/>
                <w:szCs w:val="20"/>
              </w:rPr>
              <w:t xml:space="preserve"> </w:t>
            </w:r>
            <w:proofErr w:type="spellStart"/>
            <w:r w:rsidRPr="000A44B2">
              <w:rPr>
                <w:rFonts w:cs="Times New Roman"/>
                <w:bCs/>
                <w:i/>
                <w:iCs/>
                <w:sz w:val="20"/>
                <w:szCs w:val="20"/>
              </w:rPr>
              <w:t>social</w:t>
            </w:r>
            <w:proofErr w:type="spellEnd"/>
            <w:r w:rsidRPr="000A44B2">
              <w:rPr>
                <w:rFonts w:cs="Times New Roman"/>
                <w:bCs/>
                <w:i/>
                <w:iCs/>
                <w:sz w:val="20"/>
                <w:szCs w:val="20"/>
              </w:rPr>
              <w:t xml:space="preserve"> </w:t>
            </w:r>
            <w:proofErr w:type="spellStart"/>
            <w:r w:rsidRPr="000A44B2">
              <w:rPr>
                <w:rFonts w:cs="Times New Roman"/>
                <w:bCs/>
                <w:i/>
                <w:iCs/>
                <w:sz w:val="20"/>
                <w:szCs w:val="20"/>
              </w:rPr>
              <w:t>media</w:t>
            </w:r>
            <w:proofErr w:type="spellEnd"/>
            <w:r w:rsidRPr="000A44B2">
              <w:rPr>
                <w:rFonts w:cs="Times New Roman"/>
                <w:bCs/>
                <w:i/>
                <w:iCs/>
                <w:sz w:val="20"/>
                <w:szCs w:val="20"/>
              </w:rPr>
              <w:t xml:space="preserve"> </w:t>
            </w:r>
            <w:proofErr w:type="spellStart"/>
            <w:r w:rsidRPr="000A44B2">
              <w:rPr>
                <w:rFonts w:cs="Times New Roman"/>
                <w:bCs/>
                <w:i/>
                <w:iCs/>
                <w:sz w:val="20"/>
                <w:szCs w:val="20"/>
              </w:rPr>
              <w:t>sites</w:t>
            </w:r>
            <w:proofErr w:type="spellEnd"/>
            <w:r>
              <w:rPr>
                <w:rFonts w:cs="Times New Roman"/>
                <w:bCs/>
                <w:i/>
                <w:iCs/>
                <w:sz w:val="20"/>
                <w:szCs w:val="20"/>
              </w:rPr>
              <w:t>..”</w:t>
            </w:r>
            <w:r>
              <w:rPr>
                <w:rFonts w:cs="Times New Roman"/>
                <w:bCs/>
                <w:sz w:val="20"/>
                <w:szCs w:val="20"/>
              </w:rPr>
              <w:t>), attiecīgi tā nav maināma.</w:t>
            </w:r>
          </w:p>
          <w:p w14:paraId="6100126C" w14:textId="65396DCC" w:rsidR="000A44B2" w:rsidRPr="000A44B2" w:rsidRDefault="000A44B2" w:rsidP="0097713D">
            <w:pPr>
              <w:jc w:val="both"/>
              <w:rPr>
                <w:rFonts w:cs="Times New Roman"/>
                <w:bCs/>
                <w:sz w:val="20"/>
                <w:szCs w:val="20"/>
              </w:rPr>
            </w:pPr>
          </w:p>
        </w:tc>
      </w:tr>
      <w:tr w:rsidR="00AD4BB1" w:rsidRPr="0097713D" w14:paraId="50112EE5" w14:textId="77777777" w:rsidTr="009F1082">
        <w:trPr>
          <w:trHeight w:val="85"/>
        </w:trPr>
        <w:tc>
          <w:tcPr>
            <w:tcW w:w="562" w:type="dxa"/>
            <w:shd w:val="clear" w:color="auto" w:fill="auto"/>
          </w:tcPr>
          <w:p w14:paraId="6980839B"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0245B9FD" w14:textId="77777777" w:rsidR="00AD4BB1" w:rsidRPr="0097713D" w:rsidRDefault="00AD4BB1" w:rsidP="0097713D">
            <w:pPr>
              <w:jc w:val="both"/>
              <w:rPr>
                <w:rFonts w:cs="Times New Roman"/>
                <w:b/>
                <w:bCs/>
                <w:sz w:val="20"/>
                <w:szCs w:val="20"/>
              </w:rPr>
            </w:pPr>
          </w:p>
        </w:tc>
        <w:tc>
          <w:tcPr>
            <w:tcW w:w="4820" w:type="dxa"/>
            <w:shd w:val="clear" w:color="auto" w:fill="auto"/>
          </w:tcPr>
          <w:p w14:paraId="47FCC8DF" w14:textId="77777777" w:rsidR="00AD4BB1" w:rsidRPr="0097713D" w:rsidRDefault="00AD4BB1" w:rsidP="0097713D">
            <w:pPr>
              <w:jc w:val="both"/>
              <w:rPr>
                <w:rFonts w:cs="Times New Roman"/>
                <w:b/>
                <w:bCs/>
                <w:sz w:val="20"/>
                <w:szCs w:val="20"/>
              </w:rPr>
            </w:pPr>
            <w:r w:rsidRPr="0097713D">
              <w:rPr>
                <w:rFonts w:cs="Times New Roman"/>
                <w:b/>
                <w:bCs/>
                <w:sz w:val="20"/>
                <w:szCs w:val="20"/>
              </w:rPr>
              <w:t>Veselības ministrija</w:t>
            </w:r>
          </w:p>
          <w:p w14:paraId="47B2E210" w14:textId="77777777" w:rsidR="00AD4BB1" w:rsidRPr="0097713D" w:rsidRDefault="00AD4BB1" w:rsidP="0097713D">
            <w:pPr>
              <w:pStyle w:val="xmsonormal"/>
              <w:shd w:val="clear" w:color="auto" w:fill="FFFFFF"/>
              <w:spacing w:before="0" w:beforeAutospacing="0" w:after="0" w:afterAutospacing="0"/>
              <w:jc w:val="both"/>
              <w:rPr>
                <w:rStyle w:val="contentpasted0"/>
                <w:rFonts w:ascii="Times New Roman" w:hAnsi="Times New Roman" w:cs="Times New Roman"/>
                <w:sz w:val="20"/>
                <w:szCs w:val="20"/>
                <w:lang w:val="lv-LV"/>
              </w:rPr>
            </w:pPr>
            <w:r w:rsidRPr="0097713D">
              <w:rPr>
                <w:rStyle w:val="contentpasted0"/>
                <w:rFonts w:ascii="Times New Roman" w:hAnsi="Times New Roman" w:cs="Times New Roman"/>
                <w:color w:val="000000"/>
                <w:sz w:val="20"/>
                <w:szCs w:val="20"/>
                <w:lang w:val="lv-LV"/>
              </w:rPr>
              <w:t>Lūdzam projekta vienotā kritērija Nr.9 piemērošanas skaidrojuma 3., 4., 5. punktā pievienot atsauci "ja attiecināms" vai sniegt citu risinājumu, kas noteiktu iespēju šīs prasības noteikt atbilstoši konkrētā specifiskā atbalsta mērķa vai projekta specifikai, ņemot vērā to, ka ne uz visiem projekta iesniedzējiem ir attiecināmas kritērija piemērošanas skaidrojumā noteiktās prasības, savukārt, vienoto kritēriju skaidrojumi lielākoties nav maināmi un pielāgojami.</w:t>
            </w:r>
          </w:p>
          <w:p w14:paraId="3497627E" w14:textId="77777777" w:rsidR="00AD4BB1" w:rsidRPr="0097713D" w:rsidRDefault="00AD4BB1" w:rsidP="0097713D">
            <w:pPr>
              <w:pStyle w:val="xxmsonormal0"/>
              <w:shd w:val="clear" w:color="auto" w:fill="FFFFFF"/>
              <w:jc w:val="both"/>
              <w:rPr>
                <w:rFonts w:ascii="Times New Roman" w:hAnsi="Times New Roman" w:cs="Times New Roman"/>
                <w:b/>
                <w:bCs/>
                <w:sz w:val="20"/>
                <w:szCs w:val="20"/>
              </w:rPr>
            </w:pPr>
          </w:p>
        </w:tc>
        <w:tc>
          <w:tcPr>
            <w:tcW w:w="3827" w:type="dxa"/>
            <w:shd w:val="clear" w:color="auto" w:fill="auto"/>
          </w:tcPr>
          <w:p w14:paraId="58E80B18" w14:textId="77777777" w:rsidR="00AD4BB1" w:rsidRPr="00902E2C" w:rsidRDefault="00AD4BB1" w:rsidP="0097713D">
            <w:pPr>
              <w:jc w:val="both"/>
              <w:rPr>
                <w:rFonts w:cs="Times New Roman"/>
                <w:b/>
                <w:sz w:val="20"/>
                <w:szCs w:val="20"/>
              </w:rPr>
            </w:pPr>
            <w:r w:rsidRPr="00902E2C">
              <w:rPr>
                <w:rFonts w:cs="Times New Roman"/>
                <w:b/>
                <w:sz w:val="20"/>
                <w:szCs w:val="20"/>
              </w:rPr>
              <w:t>Nav ņemts vērā. Sniegts skaidrojums.</w:t>
            </w:r>
          </w:p>
          <w:p w14:paraId="58FE6BC9" w14:textId="77777777" w:rsidR="00AD4BB1" w:rsidRPr="00902E2C" w:rsidRDefault="00AD4BB1" w:rsidP="0097713D">
            <w:pPr>
              <w:jc w:val="both"/>
              <w:rPr>
                <w:rFonts w:cs="Times New Roman"/>
                <w:bCs/>
                <w:sz w:val="20"/>
                <w:szCs w:val="20"/>
              </w:rPr>
            </w:pPr>
            <w:r w:rsidRPr="00902E2C">
              <w:rPr>
                <w:rFonts w:cs="Times New Roman"/>
                <w:bCs/>
                <w:sz w:val="20"/>
                <w:szCs w:val="20"/>
              </w:rPr>
              <w:t>Skaidrojam, ka vienotā piemērošanas skaidrojuma 3. un 4.punktā noteiktās prasības noteiktas Kopīgo noteikumu regulas 50.panta “Saņēmēju pienākumi” c., d., un e. apakšpunktos, attiecīgi nacionāli nav iespējams noteikt atvieglotas prasības.</w:t>
            </w:r>
          </w:p>
          <w:p w14:paraId="3379F695" w14:textId="77777777" w:rsidR="00AD4BB1" w:rsidRPr="00902E2C" w:rsidRDefault="00AD4BB1" w:rsidP="0097713D">
            <w:pPr>
              <w:jc w:val="both"/>
              <w:rPr>
                <w:rFonts w:cs="Times New Roman"/>
                <w:bCs/>
                <w:sz w:val="20"/>
                <w:szCs w:val="20"/>
              </w:rPr>
            </w:pPr>
          </w:p>
          <w:p w14:paraId="68F56F91" w14:textId="77777777" w:rsidR="00AD4BB1" w:rsidRPr="00902E2C" w:rsidRDefault="00AD4BB1" w:rsidP="0097713D">
            <w:pPr>
              <w:jc w:val="both"/>
              <w:rPr>
                <w:rFonts w:cs="Times New Roman"/>
                <w:bCs/>
                <w:sz w:val="20"/>
                <w:szCs w:val="20"/>
              </w:rPr>
            </w:pPr>
            <w:r w:rsidRPr="00902E2C">
              <w:rPr>
                <w:rFonts w:cs="Times New Roman"/>
                <w:bCs/>
                <w:sz w:val="20"/>
                <w:szCs w:val="20"/>
              </w:rPr>
              <w:t>50.pants “Saņēmēja pienākumi”</w:t>
            </w:r>
          </w:p>
          <w:p w14:paraId="2AC60BC8" w14:textId="57481660" w:rsidR="00AD4BB1" w:rsidRPr="00902E2C" w:rsidRDefault="00902E2C" w:rsidP="0097713D">
            <w:pPr>
              <w:jc w:val="both"/>
              <w:rPr>
                <w:rFonts w:cs="Times New Roman"/>
                <w:bCs/>
                <w:sz w:val="20"/>
                <w:szCs w:val="20"/>
              </w:rPr>
            </w:pPr>
            <w:r w:rsidRPr="00902E2C">
              <w:rPr>
                <w:rFonts w:cs="Times New Roman"/>
                <w:bCs/>
                <w:sz w:val="20"/>
                <w:szCs w:val="20"/>
              </w:rPr>
              <w:t>“</w:t>
            </w:r>
            <w:r w:rsidR="00AD4BB1" w:rsidRPr="00902E2C">
              <w:rPr>
                <w:rFonts w:cs="Times New Roman"/>
                <w:bCs/>
                <w:sz w:val="20"/>
                <w:szCs w:val="20"/>
              </w:rPr>
              <w:t>Saņēmēji un finanšu instrumentus īstenojošas struktūras atzīst atbalstu, ko darbība saņem no fondiem, tostarp resursus, ko atkārtoti izmanto saskaņā ar 62. pantu, un šādā nolūkā:</w:t>
            </w:r>
          </w:p>
          <w:p w14:paraId="0ABEC609" w14:textId="77777777" w:rsidR="00AD4BB1" w:rsidRPr="00902E2C" w:rsidRDefault="00AD4BB1" w:rsidP="0097713D">
            <w:pPr>
              <w:pStyle w:val="ListParagraph"/>
              <w:numPr>
                <w:ilvl w:val="0"/>
                <w:numId w:val="15"/>
              </w:numPr>
              <w:ind w:left="320" w:hanging="258"/>
              <w:jc w:val="both"/>
              <w:rPr>
                <w:rFonts w:cs="Times New Roman"/>
                <w:bCs/>
                <w:sz w:val="20"/>
                <w:szCs w:val="20"/>
              </w:rPr>
            </w:pPr>
            <w:r w:rsidRPr="00902E2C">
              <w:rPr>
                <w:rFonts w:cs="Times New Roman"/>
                <w:bCs/>
                <w:sz w:val="20"/>
                <w:szCs w:val="20"/>
              </w:rPr>
              <w:t>saņēmēja oficiālajā tīmekļa vietnē, ja šāda vietne ir, un sociālo mediju vietnēs publicē īsu un ar atbalsta apjomu samērīgu aprakstu par darbību, tostarp tās mērķiem un rezultātiem, un uzsver no Savienības saņemto finansiālo atbalstu;</w:t>
            </w:r>
          </w:p>
          <w:p w14:paraId="53BFFA98" w14:textId="77777777" w:rsidR="00AD4BB1" w:rsidRPr="00902E2C" w:rsidRDefault="00AD4BB1" w:rsidP="0097713D">
            <w:pPr>
              <w:pStyle w:val="ListParagraph"/>
              <w:numPr>
                <w:ilvl w:val="0"/>
                <w:numId w:val="15"/>
              </w:numPr>
              <w:ind w:left="320" w:hanging="258"/>
              <w:jc w:val="both"/>
              <w:rPr>
                <w:rFonts w:cs="Times New Roman"/>
                <w:bCs/>
                <w:sz w:val="20"/>
                <w:szCs w:val="20"/>
              </w:rPr>
            </w:pPr>
            <w:r w:rsidRPr="00902E2C">
              <w:rPr>
                <w:rFonts w:cs="Times New Roman"/>
                <w:bCs/>
                <w:sz w:val="20"/>
                <w:szCs w:val="20"/>
              </w:rPr>
              <w:t xml:space="preserve">ar darbības īstenošanu saistītajos dokumentos un komunikācijas materiālos, ko paredzēts izplatīt sabiedrībai vai dalībniekiem, sniedz </w:t>
            </w:r>
            <w:r w:rsidRPr="00902E2C">
              <w:rPr>
                <w:rFonts w:cs="Times New Roman"/>
                <w:bCs/>
                <w:sz w:val="20"/>
                <w:szCs w:val="20"/>
              </w:rPr>
              <w:lastRenderedPageBreak/>
              <w:t>pamanāmu paziņojumu, kurā uzsver no Savienības saņemto atbalstu;</w:t>
            </w:r>
          </w:p>
          <w:p w14:paraId="06FD8352" w14:textId="77777777" w:rsidR="00AD4BB1" w:rsidRPr="00902E2C" w:rsidRDefault="00AD4BB1" w:rsidP="0097713D">
            <w:pPr>
              <w:pStyle w:val="ListParagraph"/>
              <w:numPr>
                <w:ilvl w:val="0"/>
                <w:numId w:val="15"/>
              </w:numPr>
              <w:ind w:left="320" w:hanging="258"/>
              <w:jc w:val="both"/>
              <w:rPr>
                <w:rFonts w:cs="Times New Roman"/>
                <w:bCs/>
                <w:sz w:val="20"/>
                <w:szCs w:val="20"/>
              </w:rPr>
            </w:pPr>
            <w:r w:rsidRPr="00902E2C">
              <w:rPr>
                <w:rFonts w:cs="Times New Roman"/>
                <w:bCs/>
                <w:sz w:val="20"/>
                <w:szCs w:val="20"/>
              </w:rPr>
              <w:t xml:space="preserve">tiklīdz sākas darbību faktiskā īstenošana, kas ietver materiālas investīcijas, vai tiklīdz tiek uzstādīts iegādātais aprīkojums, </w:t>
            </w:r>
            <w:r w:rsidRPr="00902E2C">
              <w:rPr>
                <w:rFonts w:cs="Times New Roman"/>
                <w:bCs/>
                <w:sz w:val="20"/>
                <w:szCs w:val="20"/>
                <w:u w:val="single"/>
              </w:rPr>
              <w:t>uzstāda sabiedrībai skaidri redzamas ilgtspējīgas plāksnes vai informācijas stendus</w:t>
            </w:r>
            <w:r w:rsidRPr="00902E2C">
              <w:rPr>
                <w:rFonts w:cs="Times New Roman"/>
                <w:bCs/>
                <w:sz w:val="20"/>
                <w:szCs w:val="20"/>
              </w:rPr>
              <w:t xml:space="preserve">, kuros saskaņā ar IX pielikumā noteiktajiem tehniskajiem parametriem ir attēlota Savienības emblēma, attiecībā uz turpmāko: i) </w:t>
            </w:r>
            <w:r w:rsidRPr="00902E2C">
              <w:rPr>
                <w:rFonts w:cs="Times New Roman"/>
                <w:bCs/>
                <w:sz w:val="20"/>
                <w:szCs w:val="20"/>
                <w:u w:val="single"/>
              </w:rPr>
              <w:t>darbībām, kas saņem atbalstu no ERAF un Kohēzijas fonda un kuru kopējās izmaksas pārsniedz 500 000 EUR</w:t>
            </w:r>
            <w:r w:rsidRPr="00902E2C">
              <w:rPr>
                <w:rFonts w:cs="Times New Roman"/>
                <w:bCs/>
                <w:sz w:val="20"/>
                <w:szCs w:val="20"/>
              </w:rPr>
              <w:t xml:space="preserve">; ii) darbībām, kurām piešķirts atbalsts no </w:t>
            </w:r>
            <w:r w:rsidRPr="00902E2C">
              <w:rPr>
                <w:rFonts w:cs="Times New Roman"/>
                <w:bCs/>
                <w:sz w:val="20"/>
                <w:szCs w:val="20"/>
                <w:u w:val="single"/>
              </w:rPr>
              <w:t>ESF+, TPF, EJZAF, AMIF, IDF vai BMVI un kuru kopējās izmaksas pārsniedz 100 000 EUR</w:t>
            </w:r>
            <w:r w:rsidRPr="00902E2C">
              <w:rPr>
                <w:rFonts w:cs="Times New Roman"/>
                <w:bCs/>
                <w:sz w:val="20"/>
                <w:szCs w:val="20"/>
              </w:rPr>
              <w:t xml:space="preserve">; </w:t>
            </w:r>
          </w:p>
          <w:p w14:paraId="46A39C0F" w14:textId="77777777" w:rsidR="00AD4BB1" w:rsidRPr="00902E2C" w:rsidRDefault="00AD4BB1" w:rsidP="0097713D">
            <w:pPr>
              <w:pStyle w:val="ListParagraph"/>
              <w:numPr>
                <w:ilvl w:val="0"/>
                <w:numId w:val="15"/>
              </w:numPr>
              <w:ind w:left="320" w:hanging="258"/>
              <w:jc w:val="both"/>
              <w:rPr>
                <w:rFonts w:cs="Times New Roman"/>
                <w:bCs/>
                <w:sz w:val="20"/>
                <w:szCs w:val="20"/>
              </w:rPr>
            </w:pPr>
            <w:r w:rsidRPr="00902E2C">
              <w:rPr>
                <w:rFonts w:cs="Times New Roman"/>
                <w:bCs/>
                <w:sz w:val="20"/>
                <w:szCs w:val="20"/>
              </w:rPr>
              <w:t xml:space="preserve">par darbībām, uz kurām neattiecas c) apakšpunkts, </w:t>
            </w:r>
            <w:r w:rsidRPr="00902E2C">
              <w:rPr>
                <w:rFonts w:cs="Times New Roman"/>
                <w:bCs/>
                <w:sz w:val="20"/>
                <w:szCs w:val="20"/>
                <w:u w:val="single"/>
              </w:rPr>
              <w:t>sabiedrībai skaidri redzamā vietā uzstāda vismaz vienu plakātu, kura minimālais izmērs ir A3, vai līdzvērtīgu elektronisku paziņojumu</w:t>
            </w:r>
            <w:r w:rsidRPr="00902E2C">
              <w:rPr>
                <w:rFonts w:cs="Times New Roman"/>
                <w:bCs/>
                <w:sz w:val="20"/>
                <w:szCs w:val="20"/>
              </w:rPr>
              <w:t>, kurā izklāstīta informācija par darbību un uzsvērts no fondiem saņemtais atbalsts; ja saņēmējs ir fiziska persona, saņēmējs – ciktāl tas iespējams – nodrošina, ka ir pieejama attiecīga informācija, kas sabiedrībai redzamā vietā vai ar elektronisku paziņojumu uzsver no fondiem saņemto atbalstu;</w:t>
            </w:r>
          </w:p>
          <w:p w14:paraId="0DA6B8EE" w14:textId="2F86EE87" w:rsidR="00AD4BB1" w:rsidRPr="00902E2C" w:rsidRDefault="00AD4BB1" w:rsidP="0097713D">
            <w:pPr>
              <w:pStyle w:val="ListParagraph"/>
              <w:numPr>
                <w:ilvl w:val="0"/>
                <w:numId w:val="15"/>
              </w:numPr>
              <w:ind w:left="320" w:hanging="258"/>
              <w:jc w:val="both"/>
              <w:rPr>
                <w:rFonts w:cs="Times New Roman"/>
                <w:bCs/>
                <w:sz w:val="20"/>
                <w:szCs w:val="20"/>
              </w:rPr>
            </w:pPr>
            <w:r w:rsidRPr="00902E2C">
              <w:rPr>
                <w:rFonts w:cs="Times New Roman"/>
                <w:bCs/>
                <w:sz w:val="20"/>
                <w:szCs w:val="20"/>
                <w:u w:val="single"/>
              </w:rPr>
              <w:t>par stratēģiskas nozīmes darbībām un darbībām, kuru kopējās izmaksas pārsniedz 10 000 000 EUR, attiecīgā gadījumā organizē informatīvu pasākumu vai aktivitāti un savlaicīgi iesaista Komisiju un atbildīgo vadošo iestādi</w:t>
            </w:r>
            <w:r w:rsidRPr="00902E2C">
              <w:rPr>
                <w:rFonts w:cs="Times New Roman"/>
                <w:bCs/>
                <w:sz w:val="20"/>
                <w:szCs w:val="20"/>
              </w:rPr>
              <w:t>.</w:t>
            </w:r>
            <w:r w:rsidR="00902E2C" w:rsidRPr="00902E2C">
              <w:rPr>
                <w:rFonts w:cs="Times New Roman"/>
                <w:bCs/>
                <w:sz w:val="20"/>
                <w:szCs w:val="20"/>
              </w:rPr>
              <w:t>”</w:t>
            </w:r>
          </w:p>
        </w:tc>
      </w:tr>
      <w:tr w:rsidR="00AD4BB1" w:rsidRPr="0097713D" w14:paraId="133D2B53" w14:textId="77777777" w:rsidTr="009F1082">
        <w:trPr>
          <w:trHeight w:val="85"/>
        </w:trPr>
        <w:tc>
          <w:tcPr>
            <w:tcW w:w="562" w:type="dxa"/>
            <w:shd w:val="clear" w:color="auto" w:fill="auto"/>
          </w:tcPr>
          <w:p w14:paraId="3E40D604" w14:textId="77777777" w:rsidR="00AD4BB1" w:rsidRPr="0097713D" w:rsidRDefault="00AD4BB1" w:rsidP="0097713D">
            <w:pPr>
              <w:pStyle w:val="ListParagraph"/>
              <w:numPr>
                <w:ilvl w:val="0"/>
                <w:numId w:val="12"/>
              </w:numPr>
              <w:rPr>
                <w:rFonts w:cs="Times New Roman"/>
                <w:bCs/>
                <w:sz w:val="20"/>
                <w:szCs w:val="20"/>
              </w:rPr>
            </w:pPr>
          </w:p>
        </w:tc>
        <w:tc>
          <w:tcPr>
            <w:tcW w:w="4678" w:type="dxa"/>
            <w:vMerge/>
            <w:shd w:val="clear" w:color="auto" w:fill="auto"/>
          </w:tcPr>
          <w:p w14:paraId="585F3496" w14:textId="77777777" w:rsidR="00AD4BB1" w:rsidRPr="0097713D" w:rsidRDefault="00AD4BB1" w:rsidP="0097713D">
            <w:pPr>
              <w:jc w:val="both"/>
              <w:rPr>
                <w:rFonts w:cs="Times New Roman"/>
                <w:b/>
                <w:bCs/>
                <w:sz w:val="20"/>
                <w:szCs w:val="20"/>
              </w:rPr>
            </w:pPr>
          </w:p>
        </w:tc>
        <w:tc>
          <w:tcPr>
            <w:tcW w:w="4820" w:type="dxa"/>
            <w:shd w:val="clear" w:color="auto" w:fill="auto"/>
          </w:tcPr>
          <w:p w14:paraId="5771563A" w14:textId="77777777" w:rsidR="00AD4BB1" w:rsidRPr="0097713D" w:rsidRDefault="00AD4BB1" w:rsidP="0097713D">
            <w:pPr>
              <w:jc w:val="both"/>
              <w:rPr>
                <w:rFonts w:cs="Times New Roman"/>
                <w:color w:val="000000"/>
                <w:sz w:val="20"/>
                <w:szCs w:val="20"/>
              </w:rPr>
            </w:pPr>
            <w:r w:rsidRPr="0097713D">
              <w:rPr>
                <w:rFonts w:cs="Times New Roman"/>
                <w:b/>
                <w:bCs/>
                <w:sz w:val="20"/>
                <w:szCs w:val="20"/>
              </w:rPr>
              <w:t>Veselības ministrija</w:t>
            </w:r>
            <w:r w:rsidRPr="0097713D">
              <w:rPr>
                <w:rFonts w:cs="Times New Roman"/>
                <w:color w:val="000000"/>
                <w:sz w:val="20"/>
                <w:szCs w:val="20"/>
              </w:rPr>
              <w:t xml:space="preserve"> </w:t>
            </w:r>
          </w:p>
          <w:p w14:paraId="3205D2F3" w14:textId="77777777" w:rsidR="00AD4BB1" w:rsidRPr="0097713D" w:rsidRDefault="00AD4BB1" w:rsidP="0097713D">
            <w:pPr>
              <w:jc w:val="both"/>
              <w:rPr>
                <w:rFonts w:cs="Times New Roman"/>
                <w:b/>
                <w:bCs/>
                <w:sz w:val="20"/>
                <w:szCs w:val="20"/>
              </w:rPr>
            </w:pPr>
            <w:r w:rsidRPr="0097713D">
              <w:rPr>
                <w:rFonts w:cs="Times New Roman"/>
                <w:color w:val="000000"/>
                <w:sz w:val="20"/>
                <w:szCs w:val="20"/>
              </w:rPr>
              <w:t xml:space="preserve">Papildus aicinām izvērtēt nepieciešamību vienotā kritērija Nr.9 piemērošanas skaidrojuma 5.punktu papildināt, ka </w:t>
            </w:r>
            <w:r w:rsidRPr="0097713D">
              <w:rPr>
                <w:rFonts w:cs="Times New Roman"/>
                <w:color w:val="000000"/>
                <w:sz w:val="20"/>
                <w:szCs w:val="20"/>
              </w:rPr>
              <w:lastRenderedPageBreak/>
              <w:t>komunikācijas plāns iesniedzams kā projekta pielikums, jo pamatā visi projekti tiek vērtēti atbilstoši projektu vērtēšanas kritērijiem un to piemērošanas skaidrojumiem, attiecīgi projekta pielikums ir būtiska projekta sastāvdaļa konkrētās prasības izvērtēšanai. Ne visus pielikumus ir efektīvi iekļaut tikai atlases nolikumā vai MK noteikumos.</w:t>
            </w:r>
          </w:p>
        </w:tc>
        <w:tc>
          <w:tcPr>
            <w:tcW w:w="3827" w:type="dxa"/>
            <w:shd w:val="clear" w:color="auto" w:fill="auto"/>
          </w:tcPr>
          <w:p w14:paraId="09A4E2F9" w14:textId="417F6944" w:rsidR="007F7B97" w:rsidRPr="00902E2C" w:rsidRDefault="00902E2C" w:rsidP="007F7B97">
            <w:pPr>
              <w:rPr>
                <w:rFonts w:cs="Times New Roman"/>
                <w:b/>
                <w:bCs/>
                <w:sz w:val="20"/>
                <w:szCs w:val="20"/>
              </w:rPr>
            </w:pPr>
            <w:r w:rsidRPr="00902E2C">
              <w:rPr>
                <w:rFonts w:cs="Times New Roman"/>
                <w:b/>
                <w:bCs/>
                <w:sz w:val="20"/>
                <w:szCs w:val="20"/>
              </w:rPr>
              <w:lastRenderedPageBreak/>
              <w:t>Ņemts vērā.</w:t>
            </w:r>
          </w:p>
          <w:p w14:paraId="24F36106" w14:textId="3098F102" w:rsidR="00AD4BB1" w:rsidRPr="007F7B97" w:rsidRDefault="007F7B97" w:rsidP="007F7B97">
            <w:pPr>
              <w:jc w:val="both"/>
              <w:rPr>
                <w:rFonts w:cs="Times New Roman"/>
                <w:sz w:val="20"/>
                <w:szCs w:val="20"/>
                <w:highlight w:val="green"/>
              </w:rPr>
            </w:pPr>
            <w:r w:rsidRPr="00902E2C">
              <w:rPr>
                <w:rFonts w:cs="Times New Roman"/>
                <w:sz w:val="20"/>
                <w:szCs w:val="20"/>
              </w:rPr>
              <w:t>Vienlaikus vēršam uzmanību, ka</w:t>
            </w:r>
            <w:r w:rsidRPr="007F7B97">
              <w:rPr>
                <w:rFonts w:cs="Times New Roman"/>
                <w:sz w:val="20"/>
                <w:szCs w:val="20"/>
              </w:rPr>
              <w:t xml:space="preserve"> atlases nolikumā tiks noteikti visi papildus </w:t>
            </w:r>
            <w:r w:rsidRPr="007F7B97">
              <w:rPr>
                <w:rFonts w:cs="Times New Roman"/>
                <w:sz w:val="20"/>
                <w:szCs w:val="20"/>
              </w:rPr>
              <w:lastRenderedPageBreak/>
              <w:t xml:space="preserve">iesniedzamie dokumenti, proti, arī jebkuri </w:t>
            </w:r>
            <w:r>
              <w:rPr>
                <w:rFonts w:cs="Times New Roman"/>
                <w:sz w:val="20"/>
                <w:szCs w:val="20"/>
              </w:rPr>
              <w:t>projekta iesnieguma</w:t>
            </w:r>
            <w:r w:rsidRPr="007F7B97">
              <w:rPr>
                <w:rFonts w:cs="Times New Roman"/>
                <w:sz w:val="20"/>
                <w:szCs w:val="20"/>
              </w:rPr>
              <w:t xml:space="preserve"> pielikumi. Šo pielikumu iesniegšanas fakts tiks vērtēts vienotā kritērija Nr. 1 ietvaros.   </w:t>
            </w:r>
          </w:p>
        </w:tc>
      </w:tr>
      <w:tr w:rsidR="00AD4BB1" w:rsidRPr="0097713D" w14:paraId="21D56EB6" w14:textId="77777777" w:rsidTr="009F1082">
        <w:trPr>
          <w:trHeight w:val="85"/>
        </w:trPr>
        <w:tc>
          <w:tcPr>
            <w:tcW w:w="562" w:type="dxa"/>
            <w:shd w:val="clear" w:color="auto" w:fill="auto"/>
          </w:tcPr>
          <w:p w14:paraId="2CB3CF5E"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0927162E" w14:textId="77777777" w:rsidR="00AD4BB1" w:rsidRPr="0097713D" w:rsidRDefault="00AD4BB1" w:rsidP="0097713D">
            <w:pPr>
              <w:jc w:val="both"/>
              <w:rPr>
                <w:rFonts w:cs="Times New Roman"/>
                <w:b/>
                <w:bCs/>
                <w:sz w:val="20"/>
                <w:szCs w:val="20"/>
              </w:rPr>
            </w:pPr>
            <w:r w:rsidRPr="0097713D">
              <w:rPr>
                <w:rFonts w:cs="Times New Roman"/>
                <w:b/>
                <w:bCs/>
                <w:sz w:val="20"/>
                <w:szCs w:val="20"/>
              </w:rPr>
              <w:t>2.pielikums “Vienotie kritēriji;   un to piemērošanas skaidrojumi”</w:t>
            </w:r>
          </w:p>
          <w:p w14:paraId="3B8A8BB3" w14:textId="77777777" w:rsidR="00AD4BB1" w:rsidRPr="0097713D" w:rsidRDefault="00AD4BB1" w:rsidP="0097713D">
            <w:pPr>
              <w:jc w:val="both"/>
              <w:rPr>
                <w:rFonts w:cs="Times New Roman"/>
                <w:b/>
                <w:bCs/>
                <w:sz w:val="20"/>
                <w:szCs w:val="20"/>
              </w:rPr>
            </w:pPr>
            <w:r w:rsidRPr="0097713D">
              <w:rPr>
                <w:rFonts w:cs="Times New Roman"/>
                <w:b/>
                <w:bCs/>
                <w:sz w:val="20"/>
                <w:szCs w:val="20"/>
              </w:rPr>
              <w:t>Jauns kritērijs</w:t>
            </w:r>
          </w:p>
        </w:tc>
        <w:tc>
          <w:tcPr>
            <w:tcW w:w="4820" w:type="dxa"/>
            <w:shd w:val="clear" w:color="auto" w:fill="auto"/>
          </w:tcPr>
          <w:p w14:paraId="4D1E1337" w14:textId="77777777" w:rsidR="00AD4BB1" w:rsidRPr="0097713D" w:rsidRDefault="00AD4BB1" w:rsidP="0097713D">
            <w:pPr>
              <w:jc w:val="both"/>
              <w:rPr>
                <w:rFonts w:cs="Times New Roman"/>
                <w:b/>
                <w:bCs/>
                <w:sz w:val="20"/>
                <w:szCs w:val="20"/>
              </w:rPr>
            </w:pPr>
            <w:r w:rsidRPr="0097713D">
              <w:rPr>
                <w:rFonts w:cs="Times New Roman"/>
                <w:b/>
                <w:bCs/>
                <w:sz w:val="20"/>
                <w:szCs w:val="20"/>
              </w:rPr>
              <w:t>Vides aizsardzības un reģionālās attīstības ministrija</w:t>
            </w:r>
          </w:p>
          <w:p w14:paraId="15D3FFDF" w14:textId="77777777" w:rsidR="00AD4BB1" w:rsidRPr="0097713D" w:rsidRDefault="00AD4BB1" w:rsidP="0097713D">
            <w:pPr>
              <w:jc w:val="both"/>
              <w:rPr>
                <w:rFonts w:cs="Times New Roman"/>
                <w:sz w:val="20"/>
                <w:szCs w:val="20"/>
              </w:rPr>
            </w:pPr>
            <w:r w:rsidRPr="0097713D">
              <w:rPr>
                <w:rFonts w:cs="Times New Roman"/>
                <w:sz w:val="20"/>
                <w:szCs w:val="20"/>
              </w:rPr>
              <w:t>VARAM uztur priekšlikumu</w:t>
            </w:r>
            <w:r w:rsidRPr="0097713D">
              <w:rPr>
                <w:rFonts w:cs="Times New Roman"/>
                <w:b/>
                <w:bCs/>
                <w:sz w:val="20"/>
                <w:szCs w:val="20"/>
              </w:rPr>
              <w:t xml:space="preserve"> </w:t>
            </w:r>
            <w:r w:rsidRPr="0097713D">
              <w:rPr>
                <w:rFonts w:cs="Times New Roman"/>
                <w:sz w:val="20"/>
                <w:szCs w:val="20"/>
              </w:rPr>
              <w:t xml:space="preserve">par izziņas 18.punktu, nepiekrītot sniegtajam skaidrojumam. Skaidrojam, ka zaļo publisko iepirkumu </w:t>
            </w:r>
            <w:r w:rsidRPr="0097713D">
              <w:rPr>
                <w:rFonts w:cs="Times New Roman"/>
                <w:sz w:val="20"/>
                <w:szCs w:val="20"/>
                <w:lang w:eastAsia="lv-LV"/>
              </w:rPr>
              <w:t xml:space="preserve">piemērot visos gadījumos netiek prasīts, bet gan tikai tajos projektos (projektu iepirkumos), kuru iepirkumu priekšmeti ir ietverts Ministru kabineta 2017.gada 20.jūnija noteikumu Nr.353 “Prasības zaļajam publiskajam iepirkumam un to piemērošanas kārtība” (turpmāk – MK noteikumi Nr.353) 1. un 2. pielikumā, jo tiem ir izstrādāti </w:t>
            </w:r>
            <w:r w:rsidRPr="0097713D">
              <w:rPr>
                <w:rFonts w:cs="Times New Roman"/>
                <w:sz w:val="20"/>
                <w:szCs w:val="20"/>
              </w:rPr>
              <w:t>zaļā publiskā iepirkuma</w:t>
            </w:r>
            <w:r w:rsidRPr="0097713D">
              <w:rPr>
                <w:rFonts w:cs="Times New Roman"/>
                <w:sz w:val="20"/>
                <w:szCs w:val="20"/>
                <w:lang w:eastAsia="lv-LV"/>
              </w:rPr>
              <w:t xml:space="preserve"> nosacījumi. Preču un pakalpojumu iepirkumiem, kuri nav iekļauti  MK noteikumos Nr.353, zaļā publiskā iepirkuma piemērošana nebūtu obligāta.</w:t>
            </w:r>
            <w:r w:rsidRPr="0097713D">
              <w:rPr>
                <w:rFonts w:cs="Times New Roman"/>
                <w:sz w:val="20"/>
                <w:szCs w:val="20"/>
              </w:rPr>
              <w:t xml:space="preserve"> Vienlaicīgi  uzskatām, ka projekta gatavības pakāpe (augsta)  nav attaisnojums vai pietiekams iemesls, lai neievērotu Zaļā kursa nostādnes. Aicinām izvērtēt iespēju, ka par augstas gatavības projektiem var tik atzīti tikai tādi, kuri jau sagatavoti, ievērojot zaļos publiskā iepirkuma kritērijus. Piekrītam, ka visi projekti izskatāmi pēc vienotiem principiem, tai skaitā augstas gatavības projektiem jābūt ar zaļā publiskā iepirkuma prasībām.</w:t>
            </w:r>
          </w:p>
          <w:p w14:paraId="010BCE28" w14:textId="77777777" w:rsidR="00AD4BB1" w:rsidRPr="0097713D" w:rsidRDefault="00AD4BB1" w:rsidP="0097713D">
            <w:pPr>
              <w:jc w:val="both"/>
              <w:rPr>
                <w:rFonts w:cs="Times New Roman"/>
                <w:sz w:val="20"/>
                <w:szCs w:val="20"/>
              </w:rPr>
            </w:pPr>
            <w:r w:rsidRPr="0097713D">
              <w:rPr>
                <w:rFonts w:cs="Times New Roman"/>
                <w:sz w:val="20"/>
                <w:szCs w:val="20"/>
              </w:rPr>
              <w:t>Ņemot vērā minēto, lūdzam precizēt izziņā sniegto skaidrojumu un atlases metodikas 2.pielikumā “Vienotie kritēriji un to piemērošanas skaidrojumi” iekļaut kā jaunu 10.punktu šādā redakcijā:</w:t>
            </w:r>
          </w:p>
          <w:p w14:paraId="3CF0743A" w14:textId="77777777" w:rsidR="00AD4BB1" w:rsidRPr="0097713D" w:rsidRDefault="00AD4BB1" w:rsidP="0097713D">
            <w:pPr>
              <w:jc w:val="both"/>
              <w:rPr>
                <w:rFonts w:cs="Times New Roman"/>
                <w:sz w:val="20"/>
                <w:szCs w:val="20"/>
              </w:rPr>
            </w:pPr>
          </w:p>
          <w:p w14:paraId="6FA7A88A" w14:textId="77777777" w:rsidR="00AD4BB1" w:rsidRPr="0097713D" w:rsidRDefault="00AD4BB1" w:rsidP="0097713D">
            <w:pPr>
              <w:jc w:val="both"/>
              <w:rPr>
                <w:rFonts w:cs="Times New Roman"/>
                <w:sz w:val="20"/>
                <w:szCs w:val="20"/>
              </w:rPr>
            </w:pPr>
            <w:r w:rsidRPr="0097713D">
              <w:rPr>
                <w:rFonts w:cs="Times New Roman"/>
                <w:i/>
                <w:iCs/>
                <w:sz w:val="20"/>
                <w:szCs w:val="20"/>
                <w:u w:val="single"/>
              </w:rPr>
              <w:t>Kritērijs</w:t>
            </w:r>
            <w:r w:rsidRPr="0097713D">
              <w:rPr>
                <w:rFonts w:cs="Times New Roman"/>
                <w:sz w:val="20"/>
                <w:szCs w:val="20"/>
              </w:rPr>
              <w:t>:</w:t>
            </w:r>
          </w:p>
          <w:p w14:paraId="0DF9A8C7" w14:textId="77777777" w:rsidR="00AD4BB1" w:rsidRPr="0097713D" w:rsidRDefault="00AD4BB1" w:rsidP="0097713D">
            <w:pPr>
              <w:jc w:val="both"/>
              <w:rPr>
                <w:rFonts w:cs="Times New Roman"/>
                <w:sz w:val="20"/>
                <w:szCs w:val="20"/>
              </w:rPr>
            </w:pPr>
            <w:r w:rsidRPr="0097713D">
              <w:rPr>
                <w:rFonts w:cs="Times New Roman"/>
                <w:sz w:val="20"/>
                <w:szCs w:val="20"/>
              </w:rPr>
              <w:t>Projekta ietvaros veicamiem iepirkumiem piemēro Ministru kabineta 20.06.2017. noteikumos Nr.353 “Prasības zaļajam publiskajam iepirkumam un to piemērošanas kārtība” (MK noteikumi Nr.353) iekļautajām grupām noteiktos zaļā publiskā iepirkuma kritērijus.</w:t>
            </w:r>
          </w:p>
          <w:p w14:paraId="3DCC8A79" w14:textId="77777777" w:rsidR="00AD4BB1" w:rsidRPr="0097713D" w:rsidRDefault="00AD4BB1" w:rsidP="0097713D">
            <w:pPr>
              <w:jc w:val="both"/>
              <w:rPr>
                <w:rFonts w:cs="Times New Roman"/>
                <w:sz w:val="20"/>
                <w:szCs w:val="20"/>
              </w:rPr>
            </w:pPr>
          </w:p>
          <w:p w14:paraId="6AE915ED" w14:textId="77777777" w:rsidR="00AD4BB1" w:rsidRPr="0097713D" w:rsidRDefault="00AD4BB1" w:rsidP="0097713D">
            <w:pPr>
              <w:jc w:val="both"/>
              <w:rPr>
                <w:rFonts w:cs="Times New Roman"/>
                <w:sz w:val="20"/>
                <w:szCs w:val="20"/>
              </w:rPr>
            </w:pPr>
            <w:r w:rsidRPr="0097713D">
              <w:rPr>
                <w:rFonts w:cs="Times New Roman"/>
                <w:i/>
                <w:iCs/>
                <w:sz w:val="20"/>
                <w:szCs w:val="20"/>
                <w:u w:val="single"/>
              </w:rPr>
              <w:lastRenderedPageBreak/>
              <w:t>Kritērija ietekme uz lēmuma pieņemšanu</w:t>
            </w:r>
            <w:r w:rsidRPr="0097713D">
              <w:rPr>
                <w:rFonts w:cs="Times New Roman"/>
                <w:sz w:val="20"/>
                <w:szCs w:val="20"/>
              </w:rPr>
              <w:t>:</w:t>
            </w:r>
          </w:p>
          <w:p w14:paraId="0AFB1A5D" w14:textId="77777777" w:rsidR="00AD4BB1" w:rsidRPr="0097713D" w:rsidRDefault="00AD4BB1" w:rsidP="0097713D">
            <w:pPr>
              <w:jc w:val="both"/>
              <w:rPr>
                <w:rFonts w:cs="Times New Roman"/>
                <w:sz w:val="20"/>
                <w:szCs w:val="20"/>
              </w:rPr>
            </w:pPr>
            <w:r w:rsidRPr="0097713D">
              <w:rPr>
                <w:rFonts w:cs="Times New Roman"/>
                <w:sz w:val="20"/>
                <w:szCs w:val="20"/>
              </w:rPr>
              <w:t>P</w:t>
            </w:r>
          </w:p>
          <w:p w14:paraId="5E2F1F99" w14:textId="77777777" w:rsidR="00AD4BB1" w:rsidRPr="0097713D" w:rsidRDefault="00AD4BB1" w:rsidP="0097713D">
            <w:pPr>
              <w:jc w:val="both"/>
              <w:rPr>
                <w:rFonts w:cs="Times New Roman"/>
                <w:sz w:val="20"/>
                <w:szCs w:val="20"/>
              </w:rPr>
            </w:pPr>
          </w:p>
          <w:p w14:paraId="50DC2B2A" w14:textId="77777777" w:rsidR="00AD4BB1" w:rsidRPr="0097713D" w:rsidRDefault="00AD4BB1" w:rsidP="0097713D">
            <w:pPr>
              <w:jc w:val="both"/>
              <w:rPr>
                <w:rFonts w:cs="Times New Roman"/>
                <w:sz w:val="20"/>
                <w:szCs w:val="20"/>
              </w:rPr>
            </w:pPr>
            <w:r w:rsidRPr="0097713D">
              <w:rPr>
                <w:rFonts w:cs="Times New Roman"/>
                <w:i/>
                <w:iCs/>
                <w:sz w:val="20"/>
                <w:szCs w:val="20"/>
                <w:u w:val="single"/>
              </w:rPr>
              <w:t>Vienotais kritērija piemērošanas skaidrojums</w:t>
            </w:r>
            <w:r w:rsidRPr="0097713D">
              <w:rPr>
                <w:rFonts w:cs="Times New Roman"/>
                <w:sz w:val="20"/>
                <w:szCs w:val="20"/>
              </w:rPr>
              <w:t>:</w:t>
            </w:r>
          </w:p>
          <w:p w14:paraId="2970CA64" w14:textId="77777777" w:rsidR="00AD4BB1" w:rsidRPr="0097713D" w:rsidRDefault="00AD4BB1" w:rsidP="0097713D">
            <w:pPr>
              <w:jc w:val="both"/>
              <w:rPr>
                <w:rFonts w:cs="Times New Roman"/>
                <w:sz w:val="20"/>
                <w:szCs w:val="20"/>
              </w:rPr>
            </w:pPr>
            <w:r w:rsidRPr="0097713D">
              <w:rPr>
                <w:rFonts w:cs="Times New Roman"/>
                <w:b/>
                <w:bCs/>
                <w:sz w:val="20"/>
                <w:szCs w:val="20"/>
              </w:rPr>
              <w:t>Vērtējums ir “Jā”,</w:t>
            </w:r>
            <w:r w:rsidRPr="0097713D">
              <w:rPr>
                <w:rFonts w:cs="Times New Roman"/>
                <w:sz w:val="20"/>
                <w:szCs w:val="20"/>
              </w:rPr>
              <w:t xml:space="preserve"> ja:</w:t>
            </w:r>
          </w:p>
          <w:p w14:paraId="671139E3" w14:textId="77777777" w:rsidR="00AD4BB1" w:rsidRPr="0097713D" w:rsidRDefault="00AD4BB1" w:rsidP="0097713D">
            <w:pPr>
              <w:jc w:val="both"/>
              <w:rPr>
                <w:rFonts w:cs="Times New Roman"/>
                <w:sz w:val="20"/>
                <w:szCs w:val="20"/>
              </w:rPr>
            </w:pPr>
            <w:r w:rsidRPr="0097713D">
              <w:rPr>
                <w:rFonts w:cs="Times New Roman"/>
                <w:sz w:val="20"/>
                <w:szCs w:val="20"/>
              </w:rPr>
              <w:t>1)projekta iesniegumā, vai tā pielikumā pievienotajā projekta iepirkumu plānā ietvertais(-</w:t>
            </w:r>
            <w:proofErr w:type="spellStart"/>
            <w:r w:rsidRPr="0097713D">
              <w:rPr>
                <w:rFonts w:cs="Times New Roman"/>
                <w:sz w:val="20"/>
                <w:szCs w:val="20"/>
              </w:rPr>
              <w:t>ie</w:t>
            </w:r>
            <w:proofErr w:type="spellEnd"/>
            <w:r w:rsidRPr="0097713D">
              <w:rPr>
                <w:rFonts w:cs="Times New Roman"/>
                <w:sz w:val="20"/>
                <w:szCs w:val="20"/>
              </w:rPr>
              <w:t>) iepirkuma(-u) priekšmets(-i) atbilst MK noteikumos Nr.353 noteiktajām grupām un tam(tiem) piemērotas MK noteikumos Nr.353 noteiktie zaļā publiskā iepirkuma prasības un kritēriji.</w:t>
            </w:r>
          </w:p>
          <w:p w14:paraId="1AE6B852" w14:textId="77777777" w:rsidR="00AD4BB1" w:rsidRPr="0097713D" w:rsidRDefault="00AD4BB1" w:rsidP="0097713D">
            <w:pPr>
              <w:jc w:val="both"/>
              <w:rPr>
                <w:rFonts w:cs="Times New Roman"/>
                <w:sz w:val="20"/>
                <w:szCs w:val="20"/>
              </w:rPr>
            </w:pPr>
          </w:p>
          <w:p w14:paraId="2039E920" w14:textId="77777777" w:rsidR="00AD4BB1" w:rsidRPr="0097713D" w:rsidRDefault="00AD4BB1" w:rsidP="0097713D">
            <w:pPr>
              <w:jc w:val="both"/>
              <w:rPr>
                <w:rFonts w:cs="Times New Roman"/>
                <w:sz w:val="20"/>
                <w:szCs w:val="20"/>
              </w:rPr>
            </w:pPr>
            <w:r w:rsidRPr="0097713D">
              <w:rPr>
                <w:rFonts w:cs="Times New Roman"/>
                <w:sz w:val="20"/>
                <w:szCs w:val="20"/>
              </w:rPr>
              <w:t>2)projekta iesniegumā, vai tā pielikumā pievienotajā projekta iepirkumu plānā ietvertais(-</w:t>
            </w:r>
            <w:proofErr w:type="spellStart"/>
            <w:r w:rsidRPr="0097713D">
              <w:rPr>
                <w:rFonts w:cs="Times New Roman"/>
                <w:sz w:val="20"/>
                <w:szCs w:val="20"/>
              </w:rPr>
              <w:t>ie</w:t>
            </w:r>
            <w:proofErr w:type="spellEnd"/>
            <w:r w:rsidRPr="0097713D">
              <w:rPr>
                <w:rFonts w:cs="Times New Roman"/>
                <w:sz w:val="20"/>
                <w:szCs w:val="20"/>
              </w:rPr>
              <w:t>) iepirkuma(-u) priekšmets(-i) neatbilst MK noteikumos Nr.353 noteiktajām grupām.</w:t>
            </w:r>
          </w:p>
          <w:p w14:paraId="68B1211A" w14:textId="77777777" w:rsidR="00AD4BB1" w:rsidRPr="0097713D" w:rsidRDefault="00AD4BB1" w:rsidP="0097713D">
            <w:pPr>
              <w:jc w:val="both"/>
              <w:rPr>
                <w:rFonts w:cs="Times New Roman"/>
                <w:sz w:val="20"/>
                <w:szCs w:val="20"/>
              </w:rPr>
            </w:pPr>
          </w:p>
          <w:p w14:paraId="6E4FD04A" w14:textId="77777777" w:rsidR="00AD4BB1" w:rsidRPr="0097713D" w:rsidRDefault="00AD4BB1" w:rsidP="0097713D">
            <w:pPr>
              <w:jc w:val="both"/>
              <w:rPr>
                <w:rFonts w:cs="Times New Roman"/>
                <w:sz w:val="20"/>
                <w:szCs w:val="20"/>
              </w:rPr>
            </w:pPr>
            <w:r w:rsidRPr="0097713D">
              <w:rPr>
                <w:rFonts w:cs="Times New Roman"/>
                <w:sz w:val="20"/>
                <w:szCs w:val="20"/>
              </w:rPr>
              <w:t>Ja projekta iesniegums neatbilst minētajām prasībām, vērtējums ir</w:t>
            </w:r>
            <w:r w:rsidRPr="0097713D">
              <w:rPr>
                <w:rFonts w:cs="Times New Roman"/>
                <w:b/>
                <w:bCs/>
                <w:sz w:val="20"/>
                <w:szCs w:val="20"/>
              </w:rPr>
              <w:t xml:space="preserve"> “Jā, ar nosacījumu”, </w:t>
            </w:r>
            <w:r w:rsidRPr="0097713D">
              <w:rPr>
                <w:rFonts w:cs="Times New Roman"/>
                <w:sz w:val="20"/>
                <w:szCs w:val="20"/>
              </w:rPr>
              <w:t xml:space="preserve">izvirza atbilstošus nosacījumus. </w:t>
            </w:r>
          </w:p>
          <w:p w14:paraId="06F68BAA" w14:textId="77777777" w:rsidR="00AD4BB1" w:rsidRPr="0097713D" w:rsidRDefault="00AD4BB1" w:rsidP="0097713D">
            <w:pPr>
              <w:jc w:val="both"/>
              <w:rPr>
                <w:rFonts w:cs="Times New Roman"/>
                <w:b/>
                <w:bCs/>
                <w:sz w:val="20"/>
                <w:szCs w:val="20"/>
              </w:rPr>
            </w:pPr>
          </w:p>
          <w:p w14:paraId="3B58B813" w14:textId="77777777" w:rsidR="00AD4BB1" w:rsidRPr="0097713D" w:rsidRDefault="00AD4BB1" w:rsidP="0097713D">
            <w:pPr>
              <w:jc w:val="both"/>
              <w:rPr>
                <w:rFonts w:cs="Times New Roman"/>
                <w:b/>
                <w:bCs/>
                <w:sz w:val="20"/>
                <w:szCs w:val="20"/>
              </w:rPr>
            </w:pPr>
            <w:r w:rsidRPr="0097713D">
              <w:rPr>
                <w:rFonts w:cs="Times New Roman"/>
                <w:b/>
                <w:bCs/>
                <w:sz w:val="20"/>
                <w:szCs w:val="20"/>
              </w:rPr>
              <w:t>Vērtējums ir “Nē”</w:t>
            </w:r>
            <w:r w:rsidRPr="0097713D">
              <w:rPr>
                <w:rFonts w:cs="Times New Roman"/>
                <w:sz w:val="20"/>
                <w:szCs w:val="20"/>
              </w:rPr>
              <w:t>, ja precizētajā projekta iesniegumā nav veikti precizējumi atbilstoši izvirzītajiem nosacījumiem.</w:t>
            </w:r>
          </w:p>
        </w:tc>
        <w:tc>
          <w:tcPr>
            <w:tcW w:w="3827" w:type="dxa"/>
            <w:shd w:val="clear" w:color="auto" w:fill="auto"/>
          </w:tcPr>
          <w:p w14:paraId="70FE3257" w14:textId="3A4DE93F" w:rsidR="007F7B97" w:rsidRPr="007F7B97" w:rsidRDefault="007F7B97" w:rsidP="007F7B97">
            <w:pPr>
              <w:rPr>
                <w:rFonts w:cs="Times New Roman"/>
                <w:b/>
                <w:bCs/>
                <w:sz w:val="20"/>
                <w:szCs w:val="20"/>
              </w:rPr>
            </w:pPr>
            <w:r w:rsidRPr="007F7B97">
              <w:rPr>
                <w:rFonts w:cs="Times New Roman"/>
                <w:b/>
                <w:bCs/>
                <w:sz w:val="20"/>
                <w:szCs w:val="20"/>
              </w:rPr>
              <w:lastRenderedPageBreak/>
              <w:t>Nav ņemts vērā. Sniegts skaidrojums.</w:t>
            </w:r>
          </w:p>
          <w:p w14:paraId="6E69D8B2" w14:textId="77777777" w:rsidR="00AD4BB1" w:rsidRDefault="007F7B97" w:rsidP="007F7B97">
            <w:pPr>
              <w:jc w:val="both"/>
              <w:rPr>
                <w:rFonts w:cs="Times New Roman"/>
                <w:sz w:val="20"/>
                <w:szCs w:val="20"/>
              </w:rPr>
            </w:pPr>
            <w:r w:rsidRPr="007F7B97">
              <w:rPr>
                <w:rFonts w:cs="Times New Roman"/>
                <w:sz w:val="20"/>
                <w:szCs w:val="20"/>
              </w:rPr>
              <w:t>Vēršam uzmanību, ka atlases metodikas 2. pielikumā ietvertie vienot</w:t>
            </w:r>
            <w:r>
              <w:rPr>
                <w:rFonts w:cs="Times New Roman"/>
                <w:sz w:val="20"/>
                <w:szCs w:val="20"/>
              </w:rPr>
              <w:t>ie kritēriji ir piemērojami visu</w:t>
            </w:r>
            <w:r w:rsidRPr="007F7B97">
              <w:rPr>
                <w:rFonts w:cs="Times New Roman"/>
                <w:sz w:val="20"/>
                <w:szCs w:val="20"/>
              </w:rPr>
              <w:t xml:space="preserve"> SAM </w:t>
            </w:r>
            <w:r>
              <w:rPr>
                <w:rFonts w:cs="Times New Roman"/>
                <w:sz w:val="20"/>
                <w:szCs w:val="20"/>
              </w:rPr>
              <w:t xml:space="preserve">projektu iesniegumu atlasēs </w:t>
            </w:r>
            <w:r w:rsidRPr="007F7B97">
              <w:rPr>
                <w:rFonts w:cs="Times New Roman"/>
                <w:sz w:val="20"/>
                <w:szCs w:val="20"/>
              </w:rPr>
              <w:t xml:space="preserve">un visiem projektu iesniegumiem, savukārt no VARAM piedāvājuma izriet, ka tas būtu attiecināms vien atsevišķos SAM (ne visu SAM paredzētajās attiecināmās izmaksās būtu ietveramas </w:t>
            </w:r>
            <w:r>
              <w:rPr>
                <w:rFonts w:cs="Times New Roman"/>
                <w:sz w:val="20"/>
                <w:szCs w:val="20"/>
              </w:rPr>
              <w:t>MK</w:t>
            </w:r>
            <w:r w:rsidRPr="007F7B97">
              <w:rPr>
                <w:rFonts w:cs="Times New Roman"/>
                <w:sz w:val="20"/>
                <w:szCs w:val="20"/>
              </w:rPr>
              <w:t xml:space="preserve"> 2017.gada 20.jūnija noteikumu Nr.353 “Prasības zaļajam publiskajam iepirkumam un to piemērošanas kārtība” 1. un 2. pielikumā norādīto preču/pakalpojumu iegāde). Līdz ar to šāds kritērijs pēc būtības neatbilst vienoto kritēriju konceptam.</w:t>
            </w:r>
          </w:p>
          <w:p w14:paraId="39855002" w14:textId="49C46ED8" w:rsidR="00584E2B" w:rsidRPr="007F7B97" w:rsidRDefault="00584E2B" w:rsidP="007F7B97">
            <w:pPr>
              <w:jc w:val="both"/>
              <w:rPr>
                <w:rFonts w:cs="Times New Roman"/>
                <w:sz w:val="20"/>
                <w:szCs w:val="20"/>
              </w:rPr>
            </w:pPr>
            <w:r>
              <w:rPr>
                <w:rFonts w:cs="Times New Roman"/>
                <w:sz w:val="20"/>
                <w:szCs w:val="20"/>
              </w:rPr>
              <w:t>Ņemot vērā VARAM sniegto kritērija redakcijas priekšlikumu, atbalstām tā iekļaušanu metodikas 5.pielikumā “</w:t>
            </w:r>
            <w:r w:rsidRPr="00584E2B">
              <w:rPr>
                <w:rFonts w:cs="Times New Roman"/>
                <w:sz w:val="20"/>
                <w:szCs w:val="20"/>
              </w:rPr>
              <w:t>Horizontālo principu vērtēšanas kritēriji (labā prakse)</w:t>
            </w:r>
            <w:r>
              <w:rPr>
                <w:rFonts w:cs="Times New Roman"/>
                <w:sz w:val="20"/>
                <w:szCs w:val="20"/>
              </w:rPr>
              <w:t>”.</w:t>
            </w:r>
          </w:p>
        </w:tc>
      </w:tr>
      <w:tr w:rsidR="00AD4BB1" w:rsidRPr="0097713D" w14:paraId="7BEF562C" w14:textId="77777777" w:rsidTr="009F1082">
        <w:trPr>
          <w:trHeight w:val="85"/>
        </w:trPr>
        <w:tc>
          <w:tcPr>
            <w:tcW w:w="562" w:type="dxa"/>
            <w:shd w:val="clear" w:color="auto" w:fill="auto"/>
          </w:tcPr>
          <w:p w14:paraId="1404F8D0"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1DC9FBFC" w14:textId="77777777" w:rsidR="00AD4BB1" w:rsidRPr="0097713D" w:rsidRDefault="00AD4BB1" w:rsidP="0097713D">
            <w:pPr>
              <w:jc w:val="both"/>
              <w:rPr>
                <w:rFonts w:cs="Times New Roman"/>
                <w:b/>
                <w:bCs/>
                <w:sz w:val="20"/>
                <w:szCs w:val="20"/>
              </w:rPr>
            </w:pPr>
            <w:r w:rsidRPr="0097713D">
              <w:rPr>
                <w:rFonts w:cs="Times New Roman"/>
                <w:b/>
                <w:bCs/>
                <w:sz w:val="20"/>
                <w:szCs w:val="20"/>
              </w:rPr>
              <w:t>3.pielikums “Vienotie izvēles kritēriji   (ja attiecināms)  un to piemērošanas skaidrojumi”</w:t>
            </w:r>
          </w:p>
          <w:p w14:paraId="68D4C3C4" w14:textId="77777777" w:rsidR="00AD4BB1" w:rsidRPr="0097713D" w:rsidRDefault="00AD4BB1" w:rsidP="0097713D">
            <w:pPr>
              <w:jc w:val="both"/>
              <w:rPr>
                <w:rFonts w:cs="Times New Roman"/>
                <w:b/>
                <w:bCs/>
                <w:sz w:val="20"/>
                <w:szCs w:val="20"/>
              </w:rPr>
            </w:pPr>
            <w:r w:rsidRPr="0097713D">
              <w:rPr>
                <w:rFonts w:cs="Times New Roman"/>
                <w:b/>
                <w:bCs/>
                <w:sz w:val="20"/>
                <w:szCs w:val="20"/>
              </w:rPr>
              <w:t>1.kritērijs</w:t>
            </w:r>
          </w:p>
          <w:p w14:paraId="45673282" w14:textId="77777777" w:rsidR="00AD4BB1" w:rsidRPr="0097713D" w:rsidRDefault="00AD4BB1" w:rsidP="0097713D">
            <w:pPr>
              <w:jc w:val="both"/>
              <w:rPr>
                <w:rFonts w:cs="Times New Roman"/>
                <w:sz w:val="20"/>
                <w:szCs w:val="20"/>
              </w:rPr>
            </w:pPr>
            <w:r w:rsidRPr="0097713D">
              <w:rPr>
                <w:rFonts w:cs="Times New Roman"/>
                <w:sz w:val="20"/>
                <w:szCs w:val="20"/>
              </w:rPr>
              <w:t>Projekta iesniedzējs un sadarbības partneris (ja tāds ir paredzēts) nav grūtībās nonācis saimnieciskās darbības veicējs ;  (attiecināms, ja prasības izvirzītas MK noteikumos par SAM īstenošanu).</w:t>
            </w:r>
          </w:p>
          <w:p w14:paraId="23098C2E" w14:textId="77777777" w:rsidR="00AD4BB1" w:rsidRPr="0097713D" w:rsidRDefault="00AD4BB1" w:rsidP="0097713D">
            <w:pPr>
              <w:jc w:val="both"/>
              <w:rPr>
                <w:rFonts w:cs="Times New Roman"/>
                <w:b/>
                <w:bCs/>
                <w:sz w:val="20"/>
                <w:szCs w:val="20"/>
              </w:rPr>
            </w:pPr>
          </w:p>
        </w:tc>
        <w:tc>
          <w:tcPr>
            <w:tcW w:w="4820" w:type="dxa"/>
            <w:shd w:val="clear" w:color="auto" w:fill="auto"/>
          </w:tcPr>
          <w:p w14:paraId="40538A37" w14:textId="77777777" w:rsidR="00AD4BB1" w:rsidRPr="0097713D" w:rsidRDefault="00AD4BB1" w:rsidP="0097713D">
            <w:pPr>
              <w:jc w:val="both"/>
              <w:rPr>
                <w:rFonts w:cs="Times New Roman"/>
                <w:b/>
                <w:bCs/>
                <w:sz w:val="20"/>
                <w:szCs w:val="20"/>
              </w:rPr>
            </w:pPr>
            <w:r w:rsidRPr="0097713D">
              <w:rPr>
                <w:rFonts w:cs="Times New Roman"/>
                <w:b/>
                <w:bCs/>
                <w:sz w:val="20"/>
                <w:szCs w:val="20"/>
              </w:rPr>
              <w:t>Veselības ministrija</w:t>
            </w:r>
          </w:p>
          <w:p w14:paraId="5FEA4116" w14:textId="77777777" w:rsidR="00AD4BB1" w:rsidRPr="0097713D" w:rsidRDefault="00AD4BB1" w:rsidP="0097713D">
            <w:pPr>
              <w:pStyle w:val="xmsonormal"/>
              <w:shd w:val="clear" w:color="auto" w:fill="FFFFFF"/>
              <w:spacing w:before="0" w:beforeAutospacing="0" w:after="0" w:afterAutospacing="0"/>
              <w:jc w:val="both"/>
              <w:rPr>
                <w:rFonts w:ascii="Times New Roman" w:hAnsi="Times New Roman" w:cs="Times New Roman"/>
                <w:color w:val="000000"/>
                <w:sz w:val="20"/>
                <w:szCs w:val="20"/>
                <w:lang w:val="lv-LV"/>
              </w:rPr>
            </w:pPr>
            <w:r w:rsidRPr="0097713D">
              <w:rPr>
                <w:rStyle w:val="contentpasted0"/>
                <w:rFonts w:ascii="Times New Roman" w:hAnsi="Times New Roman" w:cs="Times New Roman"/>
                <w:color w:val="000000"/>
                <w:sz w:val="20"/>
                <w:szCs w:val="20"/>
                <w:lang w:val="lv-LV"/>
              </w:rPr>
              <w:t xml:space="preserve">Veselības ministrija ir iepazinusies ar sniegto skaidrojumu par grūtībās nonākušu uzņēmumu vērtēšanas nepieciešamību </w:t>
            </w:r>
            <w:r w:rsidRPr="00F262F4">
              <w:rPr>
                <w:rStyle w:val="contentpasted0"/>
                <w:rFonts w:ascii="Times New Roman" w:hAnsi="Times New Roman" w:cs="Times New Roman"/>
                <w:color w:val="000000"/>
                <w:sz w:val="20"/>
                <w:szCs w:val="20"/>
                <w:lang w:val="lv-LV"/>
              </w:rPr>
              <w:t>un iebildumu neuztur. Vienlaicīgi saskatām riskus, ka ārstniecības iestādēm atsevišķos gadījumos šāds risks varētu iestāties un attiecīgi Veselības ministrija turpinās darbu pie iespējamiem risinājumiem šādās situācijās. Lai pilnvērtīgi veiktu situācijas analīzi un rastu risinājumus, lūdzam vadošo iestādi atsūtīt pilna satura vadošās iestādes uzdoto jautājumu EK par grūtībās nonākušu uzņēmumu vērtēšanu un iesniegt arī EK 2022.gada 31.oktobra sniegto atbildi uz šo jautājumu.</w:t>
            </w:r>
            <w:r w:rsidRPr="0097713D">
              <w:rPr>
                <w:rStyle w:val="contentpasted0"/>
                <w:rFonts w:ascii="Times New Roman" w:hAnsi="Times New Roman" w:cs="Times New Roman"/>
                <w:color w:val="000000"/>
                <w:sz w:val="20"/>
                <w:szCs w:val="20"/>
                <w:lang w:val="lv-LV"/>
              </w:rPr>
              <w:t> </w:t>
            </w:r>
          </w:p>
          <w:p w14:paraId="38CFD26B" w14:textId="77777777" w:rsidR="00AD4BB1" w:rsidRPr="0097713D" w:rsidRDefault="00AD4BB1" w:rsidP="0097713D">
            <w:pPr>
              <w:jc w:val="both"/>
              <w:rPr>
                <w:rFonts w:cs="Times New Roman"/>
                <w:b/>
                <w:bCs/>
                <w:sz w:val="20"/>
                <w:szCs w:val="20"/>
              </w:rPr>
            </w:pPr>
          </w:p>
        </w:tc>
        <w:tc>
          <w:tcPr>
            <w:tcW w:w="3827" w:type="dxa"/>
            <w:shd w:val="clear" w:color="auto" w:fill="auto"/>
          </w:tcPr>
          <w:p w14:paraId="31005EAD" w14:textId="0E99F894" w:rsidR="00F262F4" w:rsidRPr="00F262F4" w:rsidRDefault="00F262F4" w:rsidP="0097713D">
            <w:pPr>
              <w:jc w:val="both"/>
              <w:rPr>
                <w:rFonts w:cs="Times New Roman"/>
                <w:b/>
                <w:bCs/>
                <w:sz w:val="20"/>
                <w:szCs w:val="20"/>
              </w:rPr>
            </w:pPr>
            <w:r w:rsidRPr="00F262F4">
              <w:rPr>
                <w:rFonts w:cs="Times New Roman"/>
                <w:b/>
                <w:bCs/>
                <w:sz w:val="20"/>
                <w:szCs w:val="20"/>
              </w:rPr>
              <w:t>Sniegts skaidrojums.</w:t>
            </w:r>
          </w:p>
          <w:p w14:paraId="43E2006F" w14:textId="69AE7FE5" w:rsidR="00F262F4" w:rsidRPr="00AD6AF0" w:rsidRDefault="00F262F4" w:rsidP="0097713D">
            <w:pPr>
              <w:jc w:val="both"/>
              <w:rPr>
                <w:rFonts w:cs="Times New Roman"/>
                <w:sz w:val="20"/>
                <w:szCs w:val="20"/>
              </w:rPr>
            </w:pPr>
            <w:r w:rsidRPr="00AD6AF0">
              <w:rPr>
                <w:rFonts w:cs="Times New Roman"/>
                <w:sz w:val="20"/>
                <w:szCs w:val="20"/>
              </w:rPr>
              <w:t xml:space="preserve">Informējam, ka 28.10.2022. no EK tika saņemta atbilde uz nosūtīto jautājumu un tā nosūtīta VM (uz e-pastiem </w:t>
            </w:r>
            <w:r w:rsidR="00AD6AF0" w:rsidRPr="00AD6AF0">
              <w:rPr>
                <w:rFonts w:cs="Times New Roman"/>
                <w:sz w:val="20"/>
                <w:szCs w:val="20"/>
              </w:rPr>
              <w:t xml:space="preserve">Rasnačs </w:t>
            </w:r>
            <w:hyperlink r:id="rId9" w:history="1">
              <w:r w:rsidR="00AD6AF0" w:rsidRPr="00AD6AF0">
                <w:rPr>
                  <w:rStyle w:val="Hyperlink"/>
                  <w:rFonts w:cs="Times New Roman"/>
                  <w:sz w:val="20"/>
                  <w:szCs w:val="20"/>
                </w:rPr>
                <w:t>valters-reinis.rasnacs@vm.gov.lv</w:t>
              </w:r>
            </w:hyperlink>
            <w:r w:rsidR="00AD6AF0" w:rsidRPr="00AD6AF0">
              <w:rPr>
                <w:rFonts w:cs="Times New Roman"/>
                <w:sz w:val="20"/>
                <w:szCs w:val="20"/>
              </w:rPr>
              <w:t xml:space="preserve">; </w:t>
            </w:r>
            <w:hyperlink r:id="rId10" w:history="1">
              <w:r w:rsidR="00AD6AF0" w:rsidRPr="00AD6AF0">
                <w:rPr>
                  <w:rStyle w:val="Hyperlink"/>
                  <w:rFonts w:cs="Times New Roman"/>
                  <w:sz w:val="20"/>
                  <w:szCs w:val="20"/>
                </w:rPr>
                <w:t>Agnese.Tomsone@vm.gov.lv</w:t>
              </w:r>
            </w:hyperlink>
            <w:r w:rsidR="00AD6AF0" w:rsidRPr="00AD6AF0">
              <w:rPr>
                <w:rFonts w:cs="Times New Roman"/>
                <w:sz w:val="20"/>
                <w:szCs w:val="20"/>
              </w:rPr>
              <w:t xml:space="preserve">; </w:t>
            </w:r>
            <w:hyperlink r:id="rId11" w:history="1">
              <w:r w:rsidR="00AD6AF0" w:rsidRPr="00AD6AF0">
                <w:rPr>
                  <w:rStyle w:val="Hyperlink"/>
                  <w:rFonts w:cs="Times New Roman"/>
                  <w:sz w:val="20"/>
                  <w:szCs w:val="20"/>
                </w:rPr>
                <w:t>Aivars.Voldeks@vm.gov.lv</w:t>
              </w:r>
            </w:hyperlink>
            <w:r w:rsidR="00AD6AF0" w:rsidRPr="00AD6AF0">
              <w:rPr>
                <w:rFonts w:cs="Times New Roman"/>
                <w:sz w:val="20"/>
                <w:szCs w:val="20"/>
              </w:rPr>
              <w:t xml:space="preserve">; </w:t>
            </w:r>
            <w:hyperlink r:id="rId12" w:history="1">
              <w:r w:rsidR="00AD6AF0" w:rsidRPr="00AD6AF0">
                <w:rPr>
                  <w:rStyle w:val="Hyperlink"/>
                  <w:rFonts w:cs="Times New Roman"/>
                  <w:sz w:val="20"/>
                  <w:szCs w:val="20"/>
                </w:rPr>
                <w:t>dace.brige@vm.gov.lv</w:t>
              </w:r>
            </w:hyperlink>
            <w:r w:rsidR="00AD6AF0" w:rsidRPr="00AD6AF0">
              <w:rPr>
                <w:rFonts w:cs="Times New Roman"/>
                <w:sz w:val="20"/>
                <w:szCs w:val="20"/>
              </w:rPr>
              <w:t xml:space="preserve">; </w:t>
            </w:r>
            <w:hyperlink r:id="rId13" w:history="1">
              <w:r w:rsidR="00AD6AF0" w:rsidRPr="00AD6AF0">
                <w:rPr>
                  <w:rStyle w:val="Hyperlink"/>
                  <w:rFonts w:cs="Times New Roman"/>
                  <w:sz w:val="20"/>
                  <w:szCs w:val="20"/>
                </w:rPr>
                <w:t>Ilze.Verdina-Lace@vm.gov.lv</w:t>
              </w:r>
            </w:hyperlink>
            <w:r w:rsidR="00AD6AF0" w:rsidRPr="00AD6AF0">
              <w:rPr>
                <w:rFonts w:cs="Times New Roman"/>
                <w:sz w:val="20"/>
                <w:szCs w:val="20"/>
              </w:rPr>
              <w:t xml:space="preserve">; </w:t>
            </w:r>
            <w:hyperlink r:id="rId14" w:history="1">
              <w:r w:rsidR="00AD6AF0" w:rsidRPr="00AD6AF0">
                <w:rPr>
                  <w:rStyle w:val="Hyperlink"/>
                  <w:rFonts w:cs="Times New Roman"/>
                  <w:sz w:val="20"/>
                  <w:szCs w:val="20"/>
                </w:rPr>
                <w:t>Indra.Matisone@vm.gov.lv</w:t>
              </w:r>
            </w:hyperlink>
            <w:r w:rsidR="00AD6AF0" w:rsidRPr="00AD6AF0">
              <w:rPr>
                <w:rFonts w:cs="Times New Roman"/>
                <w:sz w:val="20"/>
                <w:szCs w:val="20"/>
              </w:rPr>
              <w:t xml:space="preserve">; </w:t>
            </w:r>
            <w:hyperlink r:id="rId15" w:history="1">
              <w:r w:rsidR="00AD6AF0" w:rsidRPr="00AD6AF0">
                <w:rPr>
                  <w:rStyle w:val="Hyperlink"/>
                  <w:rFonts w:cs="Times New Roman"/>
                  <w:sz w:val="20"/>
                  <w:szCs w:val="20"/>
                </w:rPr>
                <w:t>Linda.Romanovska@vm.gov.lv</w:t>
              </w:r>
            </w:hyperlink>
            <w:r w:rsidR="00AD6AF0" w:rsidRPr="00AD6AF0">
              <w:rPr>
                <w:rFonts w:cs="Times New Roman"/>
                <w:sz w:val="20"/>
                <w:szCs w:val="20"/>
              </w:rPr>
              <w:t xml:space="preserve">; </w:t>
            </w:r>
            <w:r w:rsidRPr="00AD6AF0">
              <w:rPr>
                <w:rFonts w:cs="Times New Roman"/>
                <w:sz w:val="20"/>
                <w:szCs w:val="20"/>
              </w:rPr>
              <w:t xml:space="preserve"> 29.11.2022.).</w:t>
            </w:r>
          </w:p>
          <w:p w14:paraId="39250E58" w14:textId="4A0B1756" w:rsidR="00AD4BB1" w:rsidRPr="0097713D" w:rsidRDefault="00F262F4" w:rsidP="00F262F4">
            <w:pPr>
              <w:jc w:val="both"/>
              <w:rPr>
                <w:rFonts w:cs="Times New Roman"/>
                <w:b/>
                <w:sz w:val="20"/>
                <w:szCs w:val="20"/>
              </w:rPr>
            </w:pPr>
            <w:r w:rsidRPr="00F262F4">
              <w:rPr>
                <w:rFonts w:cs="Times New Roman"/>
                <w:sz w:val="20"/>
                <w:szCs w:val="20"/>
              </w:rPr>
              <w:t xml:space="preserve">Vienlaikus informējam, ka, ņemot vērā EK skaidrojumu, </w:t>
            </w:r>
            <w:r w:rsidR="00AD4BB1" w:rsidRPr="00F262F4">
              <w:rPr>
                <w:rFonts w:cs="Times New Roman"/>
                <w:sz w:val="20"/>
                <w:szCs w:val="20"/>
              </w:rPr>
              <w:t>ir veikti precizējumi kritērija piemērošanas skaidrojumā.</w:t>
            </w:r>
          </w:p>
          <w:p w14:paraId="5DA41CBD" w14:textId="77777777" w:rsidR="00AD4BB1" w:rsidRPr="0097713D" w:rsidRDefault="00AD4BB1" w:rsidP="0097713D">
            <w:pPr>
              <w:jc w:val="both"/>
              <w:rPr>
                <w:rFonts w:cs="Times New Roman"/>
                <w:b/>
                <w:sz w:val="20"/>
                <w:szCs w:val="20"/>
              </w:rPr>
            </w:pPr>
          </w:p>
        </w:tc>
      </w:tr>
      <w:tr w:rsidR="00AD4BB1" w:rsidRPr="0097713D" w14:paraId="1280B9B0" w14:textId="77777777" w:rsidTr="009F1082">
        <w:trPr>
          <w:trHeight w:val="85"/>
        </w:trPr>
        <w:tc>
          <w:tcPr>
            <w:tcW w:w="562" w:type="dxa"/>
            <w:shd w:val="clear" w:color="auto" w:fill="auto"/>
          </w:tcPr>
          <w:p w14:paraId="27C9DC2F"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0610B6D8" w14:textId="77777777" w:rsidR="00AD4BB1" w:rsidRPr="0097713D" w:rsidRDefault="00AD4BB1" w:rsidP="0097713D">
            <w:pPr>
              <w:jc w:val="both"/>
              <w:rPr>
                <w:rFonts w:cs="Times New Roman"/>
                <w:b/>
                <w:bCs/>
                <w:sz w:val="20"/>
                <w:szCs w:val="20"/>
              </w:rPr>
            </w:pPr>
            <w:r w:rsidRPr="0097713D">
              <w:rPr>
                <w:rFonts w:cs="Times New Roman"/>
                <w:b/>
                <w:bCs/>
                <w:sz w:val="20"/>
                <w:szCs w:val="20"/>
              </w:rPr>
              <w:t>4.pielikums “Labā prakse vienoto kritēriju piemērošanas skaidrojumu izstrādē”</w:t>
            </w:r>
          </w:p>
          <w:p w14:paraId="4A431FAF" w14:textId="77777777" w:rsidR="00AD4BB1" w:rsidRPr="0097713D" w:rsidRDefault="00AD4BB1" w:rsidP="0097713D">
            <w:pPr>
              <w:ind w:right="175"/>
              <w:jc w:val="both"/>
              <w:rPr>
                <w:rFonts w:cs="Times New Roman"/>
                <w:b/>
                <w:bCs/>
                <w:sz w:val="20"/>
                <w:szCs w:val="20"/>
              </w:rPr>
            </w:pPr>
            <w:r w:rsidRPr="0097713D">
              <w:rPr>
                <w:rFonts w:cs="Times New Roman"/>
                <w:b/>
                <w:bCs/>
                <w:sz w:val="20"/>
                <w:szCs w:val="20"/>
              </w:rPr>
              <w:lastRenderedPageBreak/>
              <w:t>Vienotais kritērijs Nr.3</w:t>
            </w:r>
          </w:p>
          <w:p w14:paraId="0C2364A7" w14:textId="77777777" w:rsidR="00AD4BB1" w:rsidRPr="0097713D" w:rsidRDefault="00AD4BB1" w:rsidP="0097713D">
            <w:pPr>
              <w:jc w:val="both"/>
              <w:rPr>
                <w:rFonts w:cs="Times New Roman"/>
                <w:sz w:val="20"/>
                <w:szCs w:val="20"/>
              </w:rPr>
            </w:pPr>
            <w:r w:rsidRPr="0097713D">
              <w:rPr>
                <w:rFonts w:cs="Times New Roman"/>
                <w:sz w:val="20"/>
                <w:szCs w:val="20"/>
              </w:rPr>
              <w:t>Projekta iesniedzējam  un projekta sadarbības partnerim (ja attiecināms) ir pietiekama īstenošanas un finanšu kapacitāte projekta īstenošanai.</w:t>
            </w:r>
          </w:p>
          <w:p w14:paraId="44D9199C" w14:textId="77777777" w:rsidR="00AD4BB1" w:rsidRPr="0097713D" w:rsidRDefault="00AD4BB1" w:rsidP="0097713D">
            <w:pPr>
              <w:jc w:val="both"/>
              <w:rPr>
                <w:rFonts w:cs="Times New Roman"/>
                <w:b/>
                <w:bCs/>
                <w:sz w:val="20"/>
                <w:szCs w:val="20"/>
              </w:rPr>
            </w:pPr>
            <w:r w:rsidRPr="0097713D">
              <w:rPr>
                <w:rFonts w:cs="Times New Roman"/>
                <w:b/>
                <w:bCs/>
                <w:sz w:val="20"/>
                <w:szCs w:val="20"/>
              </w:rPr>
              <w:t xml:space="preserve">Minimālas prasības </w:t>
            </w:r>
          </w:p>
          <w:p w14:paraId="6F7A755C" w14:textId="4045E95D" w:rsidR="00AD4BB1" w:rsidRPr="0097713D" w:rsidRDefault="00AD4BB1" w:rsidP="0097713D">
            <w:pPr>
              <w:jc w:val="both"/>
              <w:rPr>
                <w:rFonts w:cs="Times New Roman"/>
                <w:b/>
                <w:bCs/>
                <w:sz w:val="20"/>
                <w:szCs w:val="20"/>
              </w:rPr>
            </w:pPr>
            <w:r w:rsidRPr="0097713D">
              <w:rPr>
                <w:rFonts w:cs="Times New Roman"/>
                <w:b/>
                <w:bCs/>
                <w:sz w:val="20"/>
                <w:szCs w:val="20"/>
              </w:rPr>
              <w:t>Minimālās prasības</w:t>
            </w:r>
            <w:r w:rsidRPr="0097713D">
              <w:rPr>
                <w:rFonts w:cs="Times New Roman"/>
                <w:sz w:val="20"/>
                <w:szCs w:val="20"/>
              </w:rPr>
              <w:t>, kas iekļaujamas atbildīgās iestādes izstrādātajā projekta iesnieguma vērtēšanas kritērija piemērošanas metodikas skaidrojumā..</w:t>
            </w:r>
          </w:p>
        </w:tc>
        <w:tc>
          <w:tcPr>
            <w:tcW w:w="4820" w:type="dxa"/>
            <w:shd w:val="clear" w:color="auto" w:fill="auto"/>
          </w:tcPr>
          <w:p w14:paraId="47F535F2" w14:textId="77777777" w:rsidR="00AD4BB1" w:rsidRPr="0097713D" w:rsidRDefault="00AD4BB1" w:rsidP="0097713D">
            <w:pPr>
              <w:jc w:val="both"/>
              <w:rPr>
                <w:rFonts w:cs="Times New Roman"/>
                <w:b/>
                <w:bCs/>
                <w:sz w:val="20"/>
                <w:szCs w:val="20"/>
              </w:rPr>
            </w:pPr>
            <w:r w:rsidRPr="0097713D">
              <w:rPr>
                <w:rFonts w:cs="Times New Roman"/>
                <w:b/>
                <w:bCs/>
                <w:sz w:val="20"/>
                <w:szCs w:val="20"/>
              </w:rPr>
              <w:lastRenderedPageBreak/>
              <w:t>Labklājības ministrija</w:t>
            </w:r>
          </w:p>
          <w:p w14:paraId="25235191" w14:textId="77777777" w:rsidR="00AD4BB1" w:rsidRPr="0097713D" w:rsidRDefault="00AD4BB1" w:rsidP="0097713D">
            <w:pPr>
              <w:jc w:val="both"/>
              <w:rPr>
                <w:rFonts w:cs="Times New Roman"/>
                <w:color w:val="333333"/>
                <w:sz w:val="20"/>
                <w:szCs w:val="20"/>
              </w:rPr>
            </w:pPr>
            <w:r w:rsidRPr="0097713D">
              <w:rPr>
                <w:rFonts w:cs="Times New Roman"/>
                <w:color w:val="333333"/>
                <w:sz w:val="20"/>
                <w:szCs w:val="20"/>
              </w:rPr>
              <w:t>Lūdzam papildināt ar “sadarbībā ar sadarbības iestādi”.</w:t>
            </w:r>
          </w:p>
          <w:p w14:paraId="56FCFA8C" w14:textId="77777777" w:rsidR="00AD4BB1" w:rsidRPr="0097713D" w:rsidRDefault="00AD4BB1" w:rsidP="0097713D">
            <w:pPr>
              <w:jc w:val="both"/>
              <w:rPr>
                <w:rFonts w:cs="Times New Roman"/>
                <w:b/>
                <w:bCs/>
                <w:sz w:val="20"/>
                <w:szCs w:val="20"/>
              </w:rPr>
            </w:pPr>
            <w:r w:rsidRPr="0097713D">
              <w:rPr>
                <w:rFonts w:cs="Times New Roman"/>
                <w:color w:val="333333"/>
                <w:sz w:val="20"/>
                <w:szCs w:val="20"/>
              </w:rPr>
              <w:lastRenderedPageBreak/>
              <w:t>Papildinājums veikts atbilstoši MK noteikumu projekta “Kārtība, kādā Eiropas Savienības fondu vadībā iesaistītās institūcijas nodrošina šo fondu ieviešanu 2021.–2027.gada plānošanas periodā” 24.punktu, kas nosaka, ka šos skaidrojumus AI izstrādā sadarbībā ar sadarbības iestādi. Lūdzam atbilstošus precizējumus veikt par vienotajiem kritērijiem un vienotajiem izvēles kritērijiem, kuriem šajā metodikā nav ietverti vienotie piemērošanas skaidrojumi.</w:t>
            </w:r>
          </w:p>
        </w:tc>
        <w:tc>
          <w:tcPr>
            <w:tcW w:w="3827" w:type="dxa"/>
            <w:shd w:val="clear" w:color="auto" w:fill="auto"/>
          </w:tcPr>
          <w:p w14:paraId="4224A2A7" w14:textId="71457EEB" w:rsidR="00967FD9" w:rsidRDefault="00967FD9" w:rsidP="00967FD9">
            <w:pPr>
              <w:jc w:val="both"/>
              <w:rPr>
                <w:rFonts w:cs="Times New Roman"/>
                <w:b/>
                <w:sz w:val="20"/>
                <w:szCs w:val="20"/>
              </w:rPr>
            </w:pPr>
            <w:r>
              <w:rPr>
                <w:rFonts w:cs="Times New Roman"/>
                <w:b/>
                <w:sz w:val="20"/>
                <w:szCs w:val="20"/>
              </w:rPr>
              <w:lastRenderedPageBreak/>
              <w:t>Nav ņ</w:t>
            </w:r>
            <w:r w:rsidR="00AD4BB1" w:rsidRPr="0097713D">
              <w:rPr>
                <w:rFonts w:cs="Times New Roman"/>
                <w:b/>
                <w:sz w:val="20"/>
                <w:szCs w:val="20"/>
              </w:rPr>
              <w:t>emts vērā.</w:t>
            </w:r>
            <w:r>
              <w:rPr>
                <w:rFonts w:cs="Times New Roman"/>
                <w:b/>
                <w:sz w:val="20"/>
                <w:szCs w:val="20"/>
              </w:rPr>
              <w:t xml:space="preserve"> Sniegts skaidrojums.</w:t>
            </w:r>
          </w:p>
          <w:p w14:paraId="4AA92091" w14:textId="08D822CF" w:rsidR="00AD4BB1" w:rsidRPr="00967FD9" w:rsidRDefault="00967FD9" w:rsidP="007A269F">
            <w:pPr>
              <w:jc w:val="both"/>
              <w:rPr>
                <w:rFonts w:cs="Times New Roman"/>
                <w:sz w:val="20"/>
                <w:szCs w:val="20"/>
              </w:rPr>
            </w:pPr>
            <w:r w:rsidRPr="00967FD9">
              <w:rPr>
                <w:rFonts w:cs="Times New Roman"/>
                <w:sz w:val="20"/>
                <w:szCs w:val="20"/>
              </w:rPr>
              <w:lastRenderedPageBreak/>
              <w:t>Atlases metodikas 16. Punkts jau n</w:t>
            </w:r>
            <w:r w:rsidR="007A269F">
              <w:rPr>
                <w:rFonts w:cs="Times New Roman"/>
                <w:sz w:val="20"/>
                <w:szCs w:val="20"/>
              </w:rPr>
              <w:t>osaka</w:t>
            </w:r>
            <w:r w:rsidRPr="00967FD9">
              <w:rPr>
                <w:rFonts w:cs="Times New Roman"/>
                <w:sz w:val="20"/>
                <w:szCs w:val="20"/>
              </w:rPr>
              <w:t xml:space="preserve"> Sadarbības iestādes līdzdalību to vienoto un vienoto izvēles kritēriju skaidrojumu izstrādē, kuru skaidrojumiem minimālās prasības noteiktas šīs metodikas 4. pielikumā. Vienlaikus 4. pielikums vistiešākajā mērā ir adresēts atbildīgajām iestādēm, kā tas norādīts 4. pielikuma ievaddaļā. Neskatoties uz to, ka atbildīgajām iestādēm ir iespējas konsultēties ar sadarbības iestādi kritēriju/</w:t>
            </w:r>
            <w:r w:rsidR="007A269F">
              <w:rPr>
                <w:rFonts w:cs="Times New Roman"/>
                <w:sz w:val="20"/>
                <w:szCs w:val="20"/>
              </w:rPr>
              <w:t xml:space="preserve"> </w:t>
            </w:r>
            <w:r w:rsidRPr="00967FD9">
              <w:rPr>
                <w:rFonts w:cs="Times New Roman"/>
                <w:sz w:val="20"/>
                <w:szCs w:val="20"/>
              </w:rPr>
              <w:t xml:space="preserve">to piemērošanas skaidrojumu izstrādē, kritēriju piemērošanas skaidrojumu saturiskā izstrāde atbilst atbildīgo iestāžu </w:t>
            </w:r>
            <w:r w:rsidR="007A269F">
              <w:rPr>
                <w:rFonts w:cs="Times New Roman"/>
                <w:sz w:val="20"/>
                <w:szCs w:val="20"/>
              </w:rPr>
              <w:t>kompetencei</w:t>
            </w:r>
            <w:r w:rsidRPr="00967FD9">
              <w:rPr>
                <w:rFonts w:cs="Times New Roman"/>
                <w:sz w:val="20"/>
                <w:szCs w:val="20"/>
              </w:rPr>
              <w:t xml:space="preserve">. </w:t>
            </w:r>
          </w:p>
        </w:tc>
      </w:tr>
      <w:tr w:rsidR="00AD4BB1" w:rsidRPr="0097713D" w14:paraId="3D3D7084" w14:textId="77777777" w:rsidTr="009F1082">
        <w:trPr>
          <w:trHeight w:val="85"/>
        </w:trPr>
        <w:tc>
          <w:tcPr>
            <w:tcW w:w="562" w:type="dxa"/>
            <w:shd w:val="clear" w:color="auto" w:fill="auto"/>
          </w:tcPr>
          <w:p w14:paraId="6F604052"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5A906A25" w14:textId="77777777" w:rsidR="00AD4BB1" w:rsidRPr="0097713D" w:rsidRDefault="00AD4BB1" w:rsidP="0097713D">
            <w:pPr>
              <w:jc w:val="both"/>
              <w:rPr>
                <w:rFonts w:cs="Times New Roman"/>
                <w:b/>
                <w:bCs/>
                <w:sz w:val="20"/>
                <w:szCs w:val="20"/>
              </w:rPr>
            </w:pPr>
            <w:r w:rsidRPr="0097713D">
              <w:rPr>
                <w:rFonts w:cs="Times New Roman"/>
                <w:b/>
                <w:bCs/>
                <w:sz w:val="20"/>
                <w:szCs w:val="20"/>
              </w:rPr>
              <w:t>5.pielikums “Horizontālo principu vērtēšanas kritēriji (labā prakse)”</w:t>
            </w:r>
          </w:p>
          <w:p w14:paraId="7144FE0E" w14:textId="77777777" w:rsidR="00AD4BB1" w:rsidRPr="0097713D" w:rsidRDefault="00AD4BB1" w:rsidP="0097713D">
            <w:pPr>
              <w:jc w:val="both"/>
              <w:rPr>
                <w:rFonts w:cs="Times New Roman"/>
                <w:b/>
                <w:bCs/>
                <w:sz w:val="20"/>
                <w:szCs w:val="20"/>
              </w:rPr>
            </w:pPr>
            <w:r w:rsidRPr="0097713D">
              <w:rPr>
                <w:rFonts w:cs="Times New Roman"/>
                <w:sz w:val="20"/>
                <w:szCs w:val="20"/>
              </w:rPr>
              <w:t>Tehniski un redakcionāli precizējumi</w:t>
            </w:r>
          </w:p>
        </w:tc>
        <w:tc>
          <w:tcPr>
            <w:tcW w:w="4820" w:type="dxa"/>
            <w:shd w:val="clear" w:color="auto" w:fill="auto"/>
          </w:tcPr>
          <w:p w14:paraId="7ED35F82" w14:textId="77777777" w:rsidR="00AD4BB1" w:rsidRPr="0097713D" w:rsidRDefault="00AD4BB1" w:rsidP="0097713D">
            <w:pPr>
              <w:jc w:val="both"/>
              <w:rPr>
                <w:rFonts w:cs="Times New Roman"/>
                <w:b/>
                <w:bCs/>
                <w:sz w:val="20"/>
                <w:szCs w:val="20"/>
              </w:rPr>
            </w:pPr>
            <w:r w:rsidRPr="0097713D">
              <w:rPr>
                <w:rFonts w:cs="Times New Roman"/>
                <w:b/>
                <w:bCs/>
                <w:sz w:val="20"/>
                <w:szCs w:val="20"/>
              </w:rPr>
              <w:t>Labklājības ministrija</w:t>
            </w:r>
          </w:p>
          <w:p w14:paraId="4C32FD77" w14:textId="551661BC" w:rsidR="00AD4BB1" w:rsidRPr="0097713D" w:rsidRDefault="00AD4BB1" w:rsidP="0097713D">
            <w:pPr>
              <w:jc w:val="both"/>
              <w:rPr>
                <w:rFonts w:cs="Times New Roman"/>
                <w:sz w:val="20"/>
                <w:szCs w:val="20"/>
              </w:rPr>
            </w:pPr>
            <w:r w:rsidRPr="0097713D">
              <w:rPr>
                <w:rFonts w:cs="Times New Roman"/>
                <w:sz w:val="20"/>
                <w:szCs w:val="20"/>
              </w:rPr>
              <w:t>Rosināti tehniski un redakcionāli precizējumi 5.pielikumā attiecībā uz HP “” kritērijiem.</w:t>
            </w:r>
          </w:p>
        </w:tc>
        <w:tc>
          <w:tcPr>
            <w:tcW w:w="3827" w:type="dxa"/>
            <w:shd w:val="clear" w:color="auto" w:fill="auto"/>
          </w:tcPr>
          <w:p w14:paraId="5B328C4E" w14:textId="77777777" w:rsidR="00AD4BB1" w:rsidRPr="0097713D" w:rsidRDefault="00AD4BB1" w:rsidP="0097713D">
            <w:pPr>
              <w:jc w:val="both"/>
              <w:rPr>
                <w:rFonts w:cs="Times New Roman"/>
                <w:b/>
                <w:sz w:val="20"/>
                <w:szCs w:val="20"/>
              </w:rPr>
            </w:pPr>
            <w:r w:rsidRPr="0097713D">
              <w:rPr>
                <w:rFonts w:cs="Times New Roman"/>
                <w:b/>
                <w:sz w:val="20"/>
                <w:szCs w:val="20"/>
              </w:rPr>
              <w:t>Ņemts vērā.</w:t>
            </w:r>
          </w:p>
        </w:tc>
      </w:tr>
      <w:tr w:rsidR="00AD4BB1" w:rsidRPr="0097713D" w14:paraId="24C07631" w14:textId="77777777" w:rsidTr="009F1082">
        <w:trPr>
          <w:trHeight w:val="85"/>
        </w:trPr>
        <w:tc>
          <w:tcPr>
            <w:tcW w:w="562" w:type="dxa"/>
            <w:shd w:val="clear" w:color="auto" w:fill="auto"/>
          </w:tcPr>
          <w:p w14:paraId="79124C2B" w14:textId="77777777" w:rsidR="00AD4BB1" w:rsidRPr="0097713D" w:rsidRDefault="00AD4BB1" w:rsidP="0097713D">
            <w:pPr>
              <w:pStyle w:val="ListParagraph"/>
              <w:numPr>
                <w:ilvl w:val="0"/>
                <w:numId w:val="12"/>
              </w:numPr>
              <w:rPr>
                <w:rFonts w:cs="Times New Roman"/>
                <w:bCs/>
                <w:sz w:val="20"/>
                <w:szCs w:val="20"/>
              </w:rPr>
            </w:pPr>
          </w:p>
        </w:tc>
        <w:tc>
          <w:tcPr>
            <w:tcW w:w="4678" w:type="dxa"/>
            <w:shd w:val="clear" w:color="auto" w:fill="auto"/>
          </w:tcPr>
          <w:p w14:paraId="4E01141E" w14:textId="77777777" w:rsidR="00AD4BB1" w:rsidRPr="0097713D" w:rsidRDefault="00AD4BB1" w:rsidP="0097713D">
            <w:pPr>
              <w:jc w:val="both"/>
              <w:rPr>
                <w:rFonts w:cs="Times New Roman"/>
                <w:b/>
                <w:bCs/>
                <w:sz w:val="20"/>
                <w:szCs w:val="20"/>
              </w:rPr>
            </w:pPr>
            <w:r w:rsidRPr="0097713D">
              <w:rPr>
                <w:rFonts w:cs="Times New Roman"/>
                <w:b/>
                <w:bCs/>
                <w:sz w:val="20"/>
                <w:szCs w:val="20"/>
              </w:rPr>
              <w:t>5.pielikums “Horizontālo principu vērtēšanas kritēriji (labā prakse)”</w:t>
            </w:r>
          </w:p>
          <w:p w14:paraId="1A6D9E8A" w14:textId="77777777" w:rsidR="00AD4BB1" w:rsidRPr="0097713D" w:rsidRDefault="00AD4BB1" w:rsidP="0097713D">
            <w:pPr>
              <w:tabs>
                <w:tab w:val="left" w:pos="993"/>
              </w:tabs>
              <w:jc w:val="both"/>
              <w:rPr>
                <w:rFonts w:cs="Times New Roman"/>
                <w:sz w:val="20"/>
                <w:szCs w:val="20"/>
              </w:rPr>
            </w:pPr>
            <w:r w:rsidRPr="0097713D">
              <w:rPr>
                <w:rFonts w:cs="Times New Roman"/>
                <w:sz w:val="20"/>
                <w:szCs w:val="20"/>
              </w:rPr>
              <w:t>Jauns kritērijs</w:t>
            </w:r>
          </w:p>
          <w:p w14:paraId="7A67CD3A" w14:textId="77777777" w:rsidR="00AD4BB1" w:rsidRPr="0097713D" w:rsidRDefault="00AD4BB1" w:rsidP="0097713D">
            <w:pPr>
              <w:tabs>
                <w:tab w:val="left" w:pos="993"/>
              </w:tabs>
              <w:jc w:val="both"/>
              <w:rPr>
                <w:rFonts w:cs="Times New Roman"/>
                <w:b/>
                <w:bCs/>
                <w:sz w:val="20"/>
                <w:szCs w:val="20"/>
              </w:rPr>
            </w:pPr>
          </w:p>
        </w:tc>
        <w:tc>
          <w:tcPr>
            <w:tcW w:w="4820" w:type="dxa"/>
            <w:shd w:val="clear" w:color="auto" w:fill="auto"/>
          </w:tcPr>
          <w:p w14:paraId="7B3913A4" w14:textId="77777777" w:rsidR="00AD4BB1" w:rsidRPr="0097713D" w:rsidRDefault="00AD4BB1" w:rsidP="0097713D">
            <w:pPr>
              <w:jc w:val="both"/>
              <w:rPr>
                <w:rFonts w:cs="Times New Roman"/>
                <w:b/>
                <w:bCs/>
                <w:sz w:val="20"/>
                <w:szCs w:val="20"/>
              </w:rPr>
            </w:pPr>
            <w:r w:rsidRPr="0097713D">
              <w:rPr>
                <w:rFonts w:cs="Times New Roman"/>
                <w:b/>
                <w:bCs/>
                <w:sz w:val="20"/>
                <w:szCs w:val="20"/>
              </w:rPr>
              <w:t>Vides aizsardzības un reģionālās attīstības ministrija</w:t>
            </w:r>
          </w:p>
          <w:p w14:paraId="57B3783B" w14:textId="77777777" w:rsidR="00AD4BB1" w:rsidRPr="0097713D" w:rsidRDefault="00AD4BB1" w:rsidP="0097713D">
            <w:pPr>
              <w:rPr>
                <w:rFonts w:eastAsia="Times New Roman" w:cs="Times New Roman"/>
                <w:sz w:val="20"/>
                <w:szCs w:val="20"/>
              </w:rPr>
            </w:pPr>
            <w:r w:rsidRPr="0097713D">
              <w:rPr>
                <w:rFonts w:eastAsia="Times New Roman" w:cs="Times New Roman"/>
                <w:sz w:val="20"/>
                <w:szCs w:val="20"/>
              </w:rPr>
              <w:t>Lūdzam atlases metodikas 5.pielikumu papildināt ar informāciju par horizontālo principu “</w:t>
            </w:r>
            <w:proofErr w:type="spellStart"/>
            <w:r w:rsidRPr="0097713D">
              <w:rPr>
                <w:rFonts w:eastAsia="Times New Roman" w:cs="Times New Roman"/>
                <w:sz w:val="20"/>
                <w:szCs w:val="20"/>
              </w:rPr>
              <w:t>Klimatdrošināšana</w:t>
            </w:r>
            <w:proofErr w:type="spellEnd"/>
            <w:r w:rsidRPr="0097713D">
              <w:rPr>
                <w:rFonts w:eastAsia="Times New Roman" w:cs="Times New Roman"/>
                <w:sz w:val="20"/>
                <w:szCs w:val="20"/>
              </w:rPr>
              <w:t>” šādā redakcijā:</w:t>
            </w:r>
          </w:p>
          <w:p w14:paraId="1B1860CD" w14:textId="77777777" w:rsidR="00AD4BB1" w:rsidRPr="0097713D" w:rsidRDefault="00AD4BB1" w:rsidP="0097713D">
            <w:pPr>
              <w:rPr>
                <w:rFonts w:eastAsia="Times New Roman" w:cs="Times New Roman"/>
                <w:sz w:val="20"/>
                <w:szCs w:val="20"/>
              </w:rPr>
            </w:pPr>
          </w:p>
          <w:p w14:paraId="11466B7F" w14:textId="77777777" w:rsidR="00AD4BB1" w:rsidRPr="0097713D" w:rsidRDefault="00AD4BB1" w:rsidP="0097713D">
            <w:pPr>
              <w:rPr>
                <w:rFonts w:eastAsia="Times New Roman" w:cs="Times New Roman"/>
                <w:sz w:val="20"/>
                <w:szCs w:val="20"/>
              </w:rPr>
            </w:pPr>
            <w:r w:rsidRPr="0097713D">
              <w:rPr>
                <w:rFonts w:eastAsia="Times New Roman" w:cs="Times New Roman"/>
                <w:i/>
                <w:iCs/>
                <w:sz w:val="20"/>
                <w:szCs w:val="20"/>
                <w:u w:val="single"/>
              </w:rPr>
              <w:t>Kritērijs</w:t>
            </w:r>
            <w:r w:rsidRPr="0097713D">
              <w:rPr>
                <w:rFonts w:eastAsia="Times New Roman" w:cs="Times New Roman"/>
                <w:sz w:val="20"/>
                <w:szCs w:val="20"/>
              </w:rPr>
              <w:t>:</w:t>
            </w:r>
          </w:p>
          <w:p w14:paraId="5596A481" w14:textId="77777777" w:rsidR="00AD4BB1" w:rsidRPr="0097713D" w:rsidRDefault="00AD4BB1" w:rsidP="0097713D">
            <w:pPr>
              <w:rPr>
                <w:rFonts w:cs="Times New Roman"/>
                <w:sz w:val="20"/>
                <w:szCs w:val="20"/>
              </w:rPr>
            </w:pPr>
            <w:r w:rsidRPr="0097713D">
              <w:rPr>
                <w:rFonts w:cs="Times New Roman"/>
                <w:sz w:val="20"/>
                <w:szCs w:val="20"/>
              </w:rPr>
              <w:t>Projekta iesniegumā ietverti nosacījumi vai iekļautas darbības, kas paredz siltumnīcefekta gāzu emisiju samazināšanu vai CO</w:t>
            </w:r>
            <w:r w:rsidRPr="0097713D">
              <w:rPr>
                <w:rFonts w:cs="Times New Roman"/>
                <w:sz w:val="20"/>
                <w:szCs w:val="20"/>
                <w:vertAlign w:val="subscript"/>
              </w:rPr>
              <w:t>2</w:t>
            </w:r>
            <w:r w:rsidRPr="0097713D">
              <w:rPr>
                <w:rFonts w:cs="Times New Roman"/>
                <w:sz w:val="20"/>
                <w:szCs w:val="20"/>
              </w:rPr>
              <w:t xml:space="preserve"> piesaistes palielināšanu un pielāgošanos klimata pārmaiņām</w:t>
            </w:r>
          </w:p>
          <w:p w14:paraId="0F31B9A4" w14:textId="77777777" w:rsidR="00AD4BB1" w:rsidRPr="0097713D" w:rsidRDefault="00AD4BB1" w:rsidP="0097713D">
            <w:pPr>
              <w:rPr>
                <w:rFonts w:cs="Times New Roman"/>
                <w:sz w:val="20"/>
                <w:szCs w:val="20"/>
              </w:rPr>
            </w:pPr>
          </w:p>
          <w:p w14:paraId="01AB74B7" w14:textId="77777777" w:rsidR="00AD4BB1" w:rsidRPr="0097713D" w:rsidRDefault="00AD4BB1" w:rsidP="0097713D">
            <w:pPr>
              <w:rPr>
                <w:rFonts w:cs="Times New Roman"/>
                <w:sz w:val="20"/>
                <w:szCs w:val="20"/>
              </w:rPr>
            </w:pPr>
            <w:r w:rsidRPr="0097713D">
              <w:rPr>
                <w:rFonts w:cs="Times New Roman"/>
                <w:i/>
                <w:iCs/>
                <w:sz w:val="20"/>
                <w:szCs w:val="20"/>
                <w:u w:val="single"/>
              </w:rPr>
              <w:t>Kritērija ietekme uz lēmumu pieņemšanu</w:t>
            </w:r>
            <w:r w:rsidRPr="0097713D">
              <w:rPr>
                <w:rFonts w:cs="Times New Roman"/>
                <w:sz w:val="20"/>
                <w:szCs w:val="20"/>
              </w:rPr>
              <w:t>:</w:t>
            </w:r>
          </w:p>
          <w:p w14:paraId="29A9436F" w14:textId="77777777" w:rsidR="00AD4BB1" w:rsidRPr="0097713D" w:rsidRDefault="00AD4BB1" w:rsidP="0097713D">
            <w:pPr>
              <w:rPr>
                <w:rFonts w:cs="Times New Roman"/>
                <w:sz w:val="20"/>
                <w:szCs w:val="20"/>
              </w:rPr>
            </w:pPr>
            <w:r w:rsidRPr="0097713D">
              <w:rPr>
                <w:rFonts w:cs="Times New Roman"/>
                <w:sz w:val="20"/>
                <w:szCs w:val="20"/>
              </w:rPr>
              <w:t>N/ P</w:t>
            </w:r>
          </w:p>
          <w:p w14:paraId="5D8CC095" w14:textId="77777777" w:rsidR="00AD4BB1" w:rsidRPr="0097713D" w:rsidRDefault="00AD4BB1" w:rsidP="0097713D">
            <w:pPr>
              <w:rPr>
                <w:rFonts w:cs="Times New Roman"/>
                <w:sz w:val="20"/>
                <w:szCs w:val="20"/>
              </w:rPr>
            </w:pPr>
          </w:p>
          <w:p w14:paraId="7BC4FB01" w14:textId="77777777" w:rsidR="00AD4BB1" w:rsidRPr="0097713D" w:rsidRDefault="00AD4BB1" w:rsidP="0097713D">
            <w:pPr>
              <w:rPr>
                <w:rFonts w:cs="Times New Roman"/>
                <w:sz w:val="20"/>
                <w:szCs w:val="20"/>
              </w:rPr>
            </w:pPr>
            <w:r w:rsidRPr="0097713D">
              <w:rPr>
                <w:rFonts w:cs="Times New Roman"/>
                <w:i/>
                <w:iCs/>
                <w:sz w:val="20"/>
                <w:szCs w:val="20"/>
                <w:u w:val="single"/>
              </w:rPr>
              <w:t>Piemērošanas skaidrojuma minimālās prasības</w:t>
            </w:r>
            <w:r w:rsidRPr="0097713D">
              <w:rPr>
                <w:rFonts w:cs="Times New Roman"/>
                <w:sz w:val="20"/>
                <w:szCs w:val="20"/>
              </w:rPr>
              <w:t>:</w:t>
            </w:r>
          </w:p>
          <w:p w14:paraId="4EDE3E43" w14:textId="77777777" w:rsidR="00AD4BB1" w:rsidRPr="0097713D" w:rsidRDefault="00AD4BB1" w:rsidP="0097713D">
            <w:pPr>
              <w:jc w:val="both"/>
              <w:rPr>
                <w:rFonts w:cs="Times New Roman"/>
                <w:sz w:val="20"/>
                <w:szCs w:val="20"/>
              </w:rPr>
            </w:pPr>
            <w:r w:rsidRPr="0097713D">
              <w:rPr>
                <w:rFonts w:cs="Times New Roman"/>
                <w:b/>
                <w:bCs/>
                <w:sz w:val="20"/>
                <w:szCs w:val="20"/>
              </w:rPr>
              <w:t xml:space="preserve">Minimālās prasības, </w:t>
            </w:r>
            <w:r w:rsidRPr="0097713D">
              <w:rPr>
                <w:rFonts w:cs="Times New Roman"/>
                <w:sz w:val="20"/>
                <w:szCs w:val="20"/>
              </w:rPr>
              <w:t xml:space="preserve">kas iekļaujamas atbildīgās iestādes izstrādātajā projekta iesnieguma </w:t>
            </w:r>
            <w:r w:rsidRPr="0097713D">
              <w:rPr>
                <w:rFonts w:cs="Times New Roman"/>
                <w:b/>
                <w:bCs/>
                <w:sz w:val="20"/>
                <w:szCs w:val="20"/>
              </w:rPr>
              <w:t>specifiskā atbilstības kritērija</w:t>
            </w:r>
            <w:r w:rsidRPr="0097713D">
              <w:rPr>
                <w:rFonts w:cs="Times New Roman"/>
                <w:sz w:val="20"/>
                <w:szCs w:val="20"/>
              </w:rPr>
              <w:t xml:space="preserve"> piemērošanas metodikas skaidrojumā:</w:t>
            </w:r>
          </w:p>
          <w:p w14:paraId="3F077591" w14:textId="77777777" w:rsidR="00AD4BB1" w:rsidRPr="0097713D" w:rsidRDefault="00AD4BB1" w:rsidP="0097713D">
            <w:pPr>
              <w:jc w:val="both"/>
              <w:rPr>
                <w:rFonts w:cs="Times New Roman"/>
                <w:sz w:val="20"/>
                <w:szCs w:val="20"/>
              </w:rPr>
            </w:pPr>
          </w:p>
          <w:p w14:paraId="1C3624BA" w14:textId="77777777" w:rsidR="00AD4BB1" w:rsidRPr="0097713D" w:rsidRDefault="00AD4BB1" w:rsidP="0097713D">
            <w:pPr>
              <w:jc w:val="both"/>
              <w:rPr>
                <w:rFonts w:cs="Times New Roman"/>
                <w:sz w:val="20"/>
                <w:szCs w:val="20"/>
              </w:rPr>
            </w:pPr>
            <w:r w:rsidRPr="0097713D">
              <w:rPr>
                <w:rFonts w:cs="Times New Roman"/>
                <w:sz w:val="20"/>
                <w:szCs w:val="20"/>
              </w:rPr>
              <w:t>1) projekta iesniegumā ir izvērtēta iespēja projektā iekļaut darbības, kas paredz siltumnīcefekta gāzu emisiju samazināšanu vai CO</w:t>
            </w:r>
            <w:r w:rsidRPr="0097713D">
              <w:rPr>
                <w:rFonts w:cs="Times New Roman"/>
                <w:sz w:val="20"/>
                <w:szCs w:val="20"/>
                <w:vertAlign w:val="subscript"/>
              </w:rPr>
              <w:t>2</w:t>
            </w:r>
            <w:r w:rsidRPr="0097713D">
              <w:rPr>
                <w:rFonts w:cs="Times New Roman"/>
                <w:sz w:val="20"/>
                <w:szCs w:val="20"/>
              </w:rPr>
              <w:t xml:space="preserve"> piesaistes palielināšanu. Projekta iesniegumā jāsniedz skaidrojums </w:t>
            </w:r>
            <w:proofErr w:type="spellStart"/>
            <w:r w:rsidRPr="0097713D">
              <w:rPr>
                <w:rFonts w:cs="Times New Roman"/>
                <w:sz w:val="20"/>
                <w:szCs w:val="20"/>
              </w:rPr>
              <w:t>izvērtējuma</w:t>
            </w:r>
            <w:proofErr w:type="spellEnd"/>
            <w:r w:rsidRPr="0097713D">
              <w:rPr>
                <w:rFonts w:cs="Times New Roman"/>
                <w:sz w:val="20"/>
                <w:szCs w:val="20"/>
              </w:rPr>
              <w:t xml:space="preserve"> secinājumiem. </w:t>
            </w:r>
          </w:p>
          <w:p w14:paraId="642BC05F" w14:textId="77777777" w:rsidR="00AD4BB1" w:rsidRPr="0097713D" w:rsidRDefault="00AD4BB1" w:rsidP="0097713D">
            <w:pPr>
              <w:jc w:val="both"/>
              <w:rPr>
                <w:rFonts w:cs="Times New Roman"/>
                <w:sz w:val="20"/>
                <w:szCs w:val="20"/>
              </w:rPr>
            </w:pPr>
          </w:p>
          <w:p w14:paraId="7D7FDD51" w14:textId="77777777" w:rsidR="00AD4BB1" w:rsidRPr="0097713D" w:rsidRDefault="00AD4BB1" w:rsidP="0097713D">
            <w:pPr>
              <w:jc w:val="both"/>
              <w:rPr>
                <w:rFonts w:cs="Times New Roman"/>
                <w:sz w:val="20"/>
                <w:szCs w:val="20"/>
              </w:rPr>
            </w:pPr>
            <w:r w:rsidRPr="0097713D">
              <w:rPr>
                <w:rFonts w:cs="Times New Roman"/>
                <w:sz w:val="20"/>
                <w:szCs w:val="20"/>
              </w:rPr>
              <w:lastRenderedPageBreak/>
              <w:t xml:space="preserve">2) projekta iesniegumā ir izvērtēta iespēja projektā iekļaut darbības, kas paredz pielāgošanos klimata pārmaiņām. Projekta iesniegumā jāsniedz skaidrojums </w:t>
            </w:r>
            <w:proofErr w:type="spellStart"/>
            <w:r w:rsidRPr="0097713D">
              <w:rPr>
                <w:rFonts w:cs="Times New Roman"/>
                <w:sz w:val="20"/>
                <w:szCs w:val="20"/>
              </w:rPr>
              <w:t>izvērtējuma</w:t>
            </w:r>
            <w:proofErr w:type="spellEnd"/>
            <w:r w:rsidRPr="0097713D">
              <w:rPr>
                <w:rFonts w:cs="Times New Roman"/>
                <w:sz w:val="20"/>
                <w:szCs w:val="20"/>
              </w:rPr>
              <w:t xml:space="preserve"> secinājumiem. </w:t>
            </w:r>
          </w:p>
          <w:p w14:paraId="2D5A6057" w14:textId="77777777" w:rsidR="00AD4BB1" w:rsidRPr="0097713D" w:rsidRDefault="00AD4BB1" w:rsidP="0097713D">
            <w:pPr>
              <w:jc w:val="both"/>
              <w:rPr>
                <w:rFonts w:cs="Times New Roman"/>
                <w:sz w:val="20"/>
                <w:szCs w:val="20"/>
              </w:rPr>
            </w:pPr>
          </w:p>
          <w:p w14:paraId="7F2EC371" w14:textId="77777777" w:rsidR="00AD4BB1" w:rsidRPr="0097713D" w:rsidRDefault="00AD4BB1" w:rsidP="0097713D">
            <w:pPr>
              <w:jc w:val="both"/>
              <w:rPr>
                <w:rFonts w:cs="Times New Roman"/>
                <w:sz w:val="20"/>
                <w:szCs w:val="20"/>
              </w:rPr>
            </w:pPr>
            <w:r w:rsidRPr="0097713D">
              <w:rPr>
                <w:rFonts w:cs="Times New Roman"/>
                <w:sz w:val="20"/>
                <w:szCs w:val="20"/>
              </w:rPr>
              <w:t xml:space="preserve">3) ja </w:t>
            </w:r>
            <w:proofErr w:type="spellStart"/>
            <w:r w:rsidRPr="0097713D">
              <w:rPr>
                <w:rFonts w:cs="Times New Roman"/>
                <w:sz w:val="20"/>
                <w:szCs w:val="20"/>
              </w:rPr>
              <w:t>izvērtējumā</w:t>
            </w:r>
            <w:proofErr w:type="spellEnd"/>
            <w:r w:rsidRPr="0097713D">
              <w:rPr>
                <w:rFonts w:cs="Times New Roman"/>
                <w:sz w:val="20"/>
                <w:szCs w:val="20"/>
              </w:rPr>
              <w:t xml:space="preserve"> ir secināts, ka projektā ir iespējams iekļaut augstāk minētās darbības, tad ir sniedzama šāda informācija par to, kuras darbības ir iekļautas projektā:</w:t>
            </w:r>
          </w:p>
          <w:p w14:paraId="400CBE16" w14:textId="77777777" w:rsidR="00AD4BB1" w:rsidRPr="0097713D" w:rsidRDefault="00AD4BB1" w:rsidP="0097713D">
            <w:pPr>
              <w:jc w:val="both"/>
              <w:rPr>
                <w:rFonts w:cs="Times New Roman"/>
                <w:sz w:val="20"/>
                <w:szCs w:val="20"/>
              </w:rPr>
            </w:pPr>
            <w:r w:rsidRPr="0097713D">
              <w:rPr>
                <w:rFonts w:cs="Times New Roman"/>
                <w:sz w:val="20"/>
                <w:szCs w:val="20"/>
              </w:rPr>
              <w:t>a) darbības, kas paredz fosilo energoresursu ietaupījumu energoefektivitātes pasākumu ieviešanas rezultātā;</w:t>
            </w:r>
          </w:p>
          <w:p w14:paraId="43E52B88" w14:textId="77777777" w:rsidR="00AD4BB1" w:rsidRPr="0097713D" w:rsidRDefault="00AD4BB1" w:rsidP="0097713D">
            <w:pPr>
              <w:jc w:val="both"/>
              <w:rPr>
                <w:rFonts w:cs="Times New Roman"/>
                <w:sz w:val="20"/>
                <w:szCs w:val="20"/>
              </w:rPr>
            </w:pPr>
            <w:r w:rsidRPr="0097713D">
              <w:rPr>
                <w:rFonts w:cs="Times New Roman"/>
                <w:sz w:val="20"/>
                <w:szCs w:val="20"/>
              </w:rPr>
              <w:t>b) darbības, kas paredz pilnīgu vai daļēju atteikšanos no fosilo energoresursu izmantošanas;</w:t>
            </w:r>
          </w:p>
          <w:p w14:paraId="49C3DC91" w14:textId="77777777" w:rsidR="00AD4BB1" w:rsidRPr="0097713D" w:rsidRDefault="00AD4BB1" w:rsidP="0097713D">
            <w:pPr>
              <w:jc w:val="both"/>
              <w:rPr>
                <w:rFonts w:cs="Times New Roman"/>
                <w:sz w:val="20"/>
                <w:szCs w:val="20"/>
              </w:rPr>
            </w:pPr>
            <w:r w:rsidRPr="0097713D">
              <w:rPr>
                <w:rFonts w:cs="Times New Roman"/>
                <w:sz w:val="20"/>
                <w:szCs w:val="20"/>
              </w:rPr>
              <w:t>c) darbības, kas paredz enerģijas ietaupījumu;</w:t>
            </w:r>
          </w:p>
          <w:p w14:paraId="79F1908C" w14:textId="77777777" w:rsidR="00AD4BB1" w:rsidRPr="0097713D" w:rsidRDefault="00AD4BB1" w:rsidP="0097713D">
            <w:pPr>
              <w:jc w:val="both"/>
              <w:rPr>
                <w:rFonts w:cs="Times New Roman"/>
                <w:sz w:val="20"/>
                <w:szCs w:val="20"/>
              </w:rPr>
            </w:pPr>
            <w:r w:rsidRPr="0097713D">
              <w:rPr>
                <w:rFonts w:cs="Times New Roman"/>
                <w:sz w:val="20"/>
                <w:szCs w:val="20"/>
              </w:rPr>
              <w:t>d) darbības, kas paredz pāreju uz atjaunojamo energoresursu izmantošanu;</w:t>
            </w:r>
          </w:p>
          <w:p w14:paraId="43433DF3" w14:textId="77777777" w:rsidR="00AD4BB1" w:rsidRPr="0097713D" w:rsidRDefault="00AD4BB1" w:rsidP="0097713D">
            <w:pPr>
              <w:jc w:val="both"/>
              <w:rPr>
                <w:rFonts w:cs="Times New Roman"/>
                <w:sz w:val="20"/>
                <w:szCs w:val="20"/>
              </w:rPr>
            </w:pPr>
            <w:r w:rsidRPr="0097713D">
              <w:rPr>
                <w:rFonts w:cs="Times New Roman"/>
                <w:sz w:val="20"/>
                <w:szCs w:val="20"/>
              </w:rPr>
              <w:t>e) darbības, kas paredz jaunu atjaunojamo energoresursu iekārtu uzstādīšanu;</w:t>
            </w:r>
          </w:p>
          <w:p w14:paraId="05AC6D1F" w14:textId="77777777" w:rsidR="00AD4BB1" w:rsidRPr="0097713D" w:rsidRDefault="00AD4BB1" w:rsidP="0097713D">
            <w:pPr>
              <w:jc w:val="both"/>
              <w:rPr>
                <w:rFonts w:cs="Times New Roman"/>
                <w:sz w:val="20"/>
                <w:szCs w:val="20"/>
              </w:rPr>
            </w:pPr>
            <w:r w:rsidRPr="0097713D">
              <w:rPr>
                <w:rFonts w:cs="Times New Roman"/>
                <w:sz w:val="20"/>
                <w:szCs w:val="20"/>
              </w:rPr>
              <w:t>f) darbības, kas paredz zaļās infrastruktūras ieviešanu;</w:t>
            </w:r>
          </w:p>
          <w:p w14:paraId="42E2E992" w14:textId="77777777" w:rsidR="00AD4BB1" w:rsidRPr="0097713D" w:rsidRDefault="00AD4BB1" w:rsidP="0097713D">
            <w:pPr>
              <w:jc w:val="both"/>
              <w:rPr>
                <w:rFonts w:cs="Times New Roman"/>
                <w:sz w:val="20"/>
                <w:szCs w:val="20"/>
              </w:rPr>
            </w:pPr>
            <w:r w:rsidRPr="0097713D">
              <w:rPr>
                <w:rFonts w:cs="Times New Roman"/>
                <w:sz w:val="20"/>
                <w:szCs w:val="20"/>
              </w:rPr>
              <w:t>g) citas darbības, kas vienlīdz efektīvi nodrošina siltumnīcefekta gāzu emisiju  mērķu sasniegšanu;</w:t>
            </w:r>
          </w:p>
          <w:p w14:paraId="16275F6E" w14:textId="77777777" w:rsidR="00AD4BB1" w:rsidRPr="0097713D" w:rsidRDefault="00AD4BB1" w:rsidP="0097713D">
            <w:pPr>
              <w:jc w:val="both"/>
              <w:rPr>
                <w:rFonts w:cs="Times New Roman"/>
                <w:sz w:val="20"/>
                <w:szCs w:val="20"/>
              </w:rPr>
            </w:pPr>
            <w:r w:rsidRPr="0097713D">
              <w:rPr>
                <w:rFonts w:cs="Times New Roman"/>
                <w:sz w:val="20"/>
                <w:szCs w:val="20"/>
              </w:rPr>
              <w:t>h) darbības, kas vērstas uz klimata pārmaiņu risku novērtēšanu un iespējamo seku mazināšanu būvniecībā un infrastruktūras plānošanā.</w:t>
            </w:r>
          </w:p>
        </w:tc>
        <w:tc>
          <w:tcPr>
            <w:tcW w:w="3827" w:type="dxa"/>
            <w:shd w:val="clear" w:color="auto" w:fill="auto"/>
          </w:tcPr>
          <w:p w14:paraId="7F84CD2F" w14:textId="77777777" w:rsidR="00AD4BB1" w:rsidRPr="0097713D" w:rsidRDefault="00AD4BB1" w:rsidP="0097713D">
            <w:pPr>
              <w:jc w:val="both"/>
              <w:rPr>
                <w:rFonts w:cs="Times New Roman"/>
                <w:b/>
                <w:sz w:val="20"/>
                <w:szCs w:val="20"/>
              </w:rPr>
            </w:pPr>
            <w:r w:rsidRPr="0097713D">
              <w:rPr>
                <w:rFonts w:cs="Times New Roman"/>
                <w:b/>
                <w:sz w:val="20"/>
                <w:szCs w:val="20"/>
              </w:rPr>
              <w:lastRenderedPageBreak/>
              <w:t>Ņemts vērā.</w:t>
            </w:r>
          </w:p>
        </w:tc>
      </w:tr>
      <w:tr w:rsidR="0097713D" w:rsidRPr="0097713D" w14:paraId="6B8CFDB8" w14:textId="77777777" w:rsidTr="009F1082">
        <w:trPr>
          <w:trHeight w:val="85"/>
        </w:trPr>
        <w:tc>
          <w:tcPr>
            <w:tcW w:w="562" w:type="dxa"/>
            <w:shd w:val="clear" w:color="auto" w:fill="auto"/>
          </w:tcPr>
          <w:p w14:paraId="6510A26F" w14:textId="77777777" w:rsidR="0097713D" w:rsidRPr="0097713D" w:rsidRDefault="0097713D" w:rsidP="0097713D">
            <w:pPr>
              <w:pStyle w:val="ListParagraph"/>
              <w:numPr>
                <w:ilvl w:val="0"/>
                <w:numId w:val="12"/>
              </w:numPr>
              <w:rPr>
                <w:rFonts w:cs="Times New Roman"/>
                <w:bCs/>
                <w:sz w:val="20"/>
                <w:szCs w:val="20"/>
              </w:rPr>
            </w:pPr>
          </w:p>
        </w:tc>
        <w:tc>
          <w:tcPr>
            <w:tcW w:w="4678" w:type="dxa"/>
            <w:shd w:val="clear" w:color="auto" w:fill="auto"/>
          </w:tcPr>
          <w:p w14:paraId="4A34691F" w14:textId="4C58958B" w:rsidR="0097713D" w:rsidRPr="0097713D" w:rsidRDefault="0097713D" w:rsidP="0097713D">
            <w:pPr>
              <w:jc w:val="both"/>
              <w:rPr>
                <w:rFonts w:cs="Times New Roman"/>
                <w:b/>
                <w:bCs/>
                <w:sz w:val="20"/>
                <w:szCs w:val="20"/>
              </w:rPr>
            </w:pPr>
            <w:r w:rsidRPr="0097713D">
              <w:rPr>
                <w:rFonts w:cs="Times New Roman"/>
                <w:b/>
                <w:bCs/>
                <w:sz w:val="20"/>
                <w:szCs w:val="20"/>
              </w:rPr>
              <w:t>Cits vispārīgs komentārs</w:t>
            </w:r>
          </w:p>
        </w:tc>
        <w:tc>
          <w:tcPr>
            <w:tcW w:w="4820" w:type="dxa"/>
            <w:shd w:val="clear" w:color="auto" w:fill="auto"/>
          </w:tcPr>
          <w:p w14:paraId="0FDC257A" w14:textId="77777777" w:rsidR="0097713D" w:rsidRPr="0097713D" w:rsidRDefault="0097713D" w:rsidP="0097713D">
            <w:pPr>
              <w:jc w:val="both"/>
              <w:rPr>
                <w:rFonts w:cs="Times New Roman"/>
                <w:b/>
                <w:bCs/>
                <w:sz w:val="20"/>
                <w:szCs w:val="20"/>
              </w:rPr>
            </w:pPr>
            <w:r w:rsidRPr="0097713D">
              <w:rPr>
                <w:rFonts w:cs="Times New Roman"/>
                <w:b/>
                <w:bCs/>
                <w:sz w:val="20"/>
                <w:szCs w:val="20"/>
              </w:rPr>
              <w:t>Latvijas Pašvaldību savienība</w:t>
            </w:r>
          </w:p>
          <w:p w14:paraId="282899A2" w14:textId="77777777" w:rsidR="0097713D" w:rsidRPr="0097713D" w:rsidRDefault="0097713D" w:rsidP="0097713D">
            <w:pPr>
              <w:jc w:val="both"/>
              <w:rPr>
                <w:rFonts w:cs="Times New Roman"/>
                <w:sz w:val="20"/>
                <w:szCs w:val="20"/>
              </w:rPr>
            </w:pPr>
            <w:r w:rsidRPr="0097713D">
              <w:rPr>
                <w:rFonts w:cs="Times New Roman"/>
                <w:sz w:val="20"/>
                <w:szCs w:val="20"/>
              </w:rPr>
              <w:t>Lūgums izvērtēt iespēju – iekļaut attiecināmās izmaksās Būvprojekta izstrādi.</w:t>
            </w:r>
          </w:p>
          <w:p w14:paraId="57B19A36" w14:textId="3C40752D" w:rsidR="0097713D" w:rsidRPr="0097713D" w:rsidRDefault="0097713D" w:rsidP="0097713D">
            <w:pPr>
              <w:jc w:val="both"/>
              <w:rPr>
                <w:rFonts w:cs="Times New Roman"/>
                <w:b/>
                <w:bCs/>
                <w:sz w:val="20"/>
                <w:szCs w:val="20"/>
              </w:rPr>
            </w:pPr>
          </w:p>
        </w:tc>
        <w:tc>
          <w:tcPr>
            <w:tcW w:w="3827" w:type="dxa"/>
            <w:shd w:val="clear" w:color="auto" w:fill="auto"/>
          </w:tcPr>
          <w:p w14:paraId="29D26193" w14:textId="77777777" w:rsidR="0097713D" w:rsidRPr="0097713D" w:rsidRDefault="0097713D" w:rsidP="0097713D">
            <w:pPr>
              <w:jc w:val="both"/>
              <w:rPr>
                <w:rFonts w:cs="Times New Roman"/>
                <w:b/>
                <w:sz w:val="20"/>
                <w:szCs w:val="20"/>
              </w:rPr>
            </w:pPr>
            <w:r w:rsidRPr="0097713D">
              <w:rPr>
                <w:rFonts w:cs="Times New Roman"/>
                <w:b/>
                <w:sz w:val="20"/>
                <w:szCs w:val="20"/>
              </w:rPr>
              <w:t>Nav ņemts vērā. Sniegts skaidrojums.</w:t>
            </w:r>
          </w:p>
          <w:p w14:paraId="5375DC30" w14:textId="3468B200" w:rsidR="0097713D" w:rsidRPr="0097713D" w:rsidRDefault="0097713D" w:rsidP="0097713D">
            <w:pPr>
              <w:jc w:val="both"/>
              <w:rPr>
                <w:rFonts w:cs="Times New Roman"/>
                <w:bCs/>
                <w:sz w:val="20"/>
                <w:szCs w:val="20"/>
              </w:rPr>
            </w:pPr>
            <w:r w:rsidRPr="0097713D">
              <w:rPr>
                <w:rFonts w:cs="Times New Roman"/>
                <w:bCs/>
                <w:sz w:val="20"/>
                <w:szCs w:val="20"/>
              </w:rPr>
              <w:t xml:space="preserve">Izdevumu </w:t>
            </w:r>
            <w:proofErr w:type="spellStart"/>
            <w:r w:rsidRPr="0097713D">
              <w:rPr>
                <w:rFonts w:cs="Times New Roman"/>
                <w:bCs/>
                <w:sz w:val="20"/>
                <w:szCs w:val="20"/>
              </w:rPr>
              <w:t>attiecināmības</w:t>
            </w:r>
            <w:proofErr w:type="spellEnd"/>
            <w:r w:rsidRPr="0097713D">
              <w:rPr>
                <w:rFonts w:cs="Times New Roman"/>
                <w:bCs/>
                <w:sz w:val="20"/>
                <w:szCs w:val="20"/>
              </w:rPr>
              <w:t xml:space="preserve"> jautājumi nav šīs metodikas tvērums. Rosinām attiecīgus komentārus izteikt horizontālo MK noteikumu saskaņošanas ietvaros un citu saistošo vadlīniju un metodiku saskaņošanas ietvaros.</w:t>
            </w:r>
          </w:p>
        </w:tc>
      </w:tr>
    </w:tbl>
    <w:p w14:paraId="3A1D4DE1" w14:textId="253AA41C" w:rsidR="005D1536" w:rsidRPr="00E05D3D" w:rsidRDefault="005D1536" w:rsidP="005B6FFE">
      <w:pPr>
        <w:tabs>
          <w:tab w:val="left" w:pos="4028"/>
        </w:tabs>
        <w:rPr>
          <w:rFonts w:cs="Times New Roman"/>
          <w:sz w:val="20"/>
          <w:szCs w:val="20"/>
        </w:rPr>
      </w:pPr>
    </w:p>
    <w:p w14:paraId="07C3B62E" w14:textId="77777777" w:rsidR="00E05D3D" w:rsidRPr="00E05D3D" w:rsidRDefault="00E05D3D" w:rsidP="005B6FFE">
      <w:pPr>
        <w:tabs>
          <w:tab w:val="left" w:pos="4028"/>
        </w:tabs>
        <w:rPr>
          <w:rFonts w:cs="Times New Roman"/>
          <w:sz w:val="20"/>
          <w:szCs w:val="20"/>
        </w:rPr>
      </w:pPr>
    </w:p>
    <w:sectPr w:rsidR="00E05D3D" w:rsidRPr="00E05D3D" w:rsidSect="0074638C">
      <w:footerReference w:type="default" r:id="rId16"/>
      <w:pgSz w:w="16838" w:h="11906" w:orient="landscape"/>
      <w:pgMar w:top="1134" w:right="851" w:bottom="1134" w:left="851" w:header="510" w:footer="15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8CA0" w16cex:dateUtc="2022-12-21T11:46:00Z"/>
  <w16cex:commentExtensible w16cex:durableId="274D8F0D" w16cex:dateUtc="2022-12-21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60CC1" w16cid:durableId="274D8CA0"/>
  <w16cid:commentId w16cid:paraId="26B59250" w16cid:durableId="274D8BAE"/>
  <w16cid:commentId w16cid:paraId="53149D9A" w16cid:durableId="274D8F0D"/>
  <w16cid:commentId w16cid:paraId="00556F80" w16cid:durableId="274D8BAF"/>
  <w16cid:commentId w16cid:paraId="628943D4" w16cid:durableId="274D8BB0"/>
  <w16cid:commentId w16cid:paraId="39F46B81" w16cid:durableId="274D8BB1"/>
  <w16cid:commentId w16cid:paraId="70415899" w16cid:durableId="274D8B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36B7" w14:textId="77777777" w:rsidR="00967FD9" w:rsidRDefault="00967FD9" w:rsidP="00355957">
      <w:r>
        <w:separator/>
      </w:r>
    </w:p>
  </w:endnote>
  <w:endnote w:type="continuationSeparator" w:id="0">
    <w:p w14:paraId="32E61092" w14:textId="77777777" w:rsidR="00967FD9" w:rsidRDefault="00967FD9" w:rsidP="0035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8824"/>
      <w:docPartObj>
        <w:docPartGallery w:val="Page Numbers (Bottom of Page)"/>
        <w:docPartUnique/>
      </w:docPartObj>
    </w:sdtPr>
    <w:sdtEndPr>
      <w:rPr>
        <w:noProof/>
      </w:rPr>
    </w:sdtEndPr>
    <w:sdtContent>
      <w:p w14:paraId="5755F452" w14:textId="55DF05A9" w:rsidR="00967FD9" w:rsidRDefault="00967FD9">
        <w:pPr>
          <w:pStyle w:val="Footer"/>
          <w:jc w:val="center"/>
        </w:pPr>
        <w:r>
          <w:fldChar w:fldCharType="begin"/>
        </w:r>
        <w:r>
          <w:instrText xml:space="preserve"> PAGE   \* MERGEFORMAT </w:instrText>
        </w:r>
        <w:r>
          <w:fldChar w:fldCharType="separate"/>
        </w:r>
        <w:r w:rsidR="00FB3985">
          <w:rPr>
            <w:noProof/>
          </w:rPr>
          <w:t>7</w:t>
        </w:r>
        <w:r>
          <w:rPr>
            <w:noProof/>
          </w:rPr>
          <w:fldChar w:fldCharType="end"/>
        </w:r>
      </w:p>
    </w:sdtContent>
  </w:sdt>
  <w:p w14:paraId="43064082" w14:textId="77777777" w:rsidR="00967FD9" w:rsidRDefault="0096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1476" w14:textId="77777777" w:rsidR="00967FD9" w:rsidRDefault="00967FD9" w:rsidP="00355957">
      <w:r>
        <w:separator/>
      </w:r>
    </w:p>
  </w:footnote>
  <w:footnote w:type="continuationSeparator" w:id="0">
    <w:p w14:paraId="72A62C93" w14:textId="77777777" w:rsidR="00967FD9" w:rsidRDefault="00967FD9" w:rsidP="00355957">
      <w:r>
        <w:continuationSeparator/>
      </w:r>
    </w:p>
  </w:footnote>
  <w:footnote w:id="1">
    <w:p w14:paraId="068301DB" w14:textId="77777777" w:rsidR="00967FD9" w:rsidRPr="0097713D" w:rsidRDefault="00967FD9" w:rsidP="00AD4BB1">
      <w:pPr>
        <w:pStyle w:val="FootnoteText"/>
        <w:jc w:val="both"/>
        <w:rPr>
          <w:sz w:val="16"/>
          <w:szCs w:val="16"/>
        </w:rPr>
      </w:pPr>
      <w:r w:rsidRPr="0097713D">
        <w:rPr>
          <w:rStyle w:val="FootnoteReference"/>
          <w:sz w:val="16"/>
          <w:szCs w:val="16"/>
        </w:rPr>
        <w:footnoteRef/>
      </w:r>
      <w:r w:rsidRPr="0097713D">
        <w:rPr>
          <w:sz w:val="16"/>
          <w:szCs w:val="16"/>
        </w:rPr>
        <w:t xml:space="preserve"> Kārtība, kādā Eiropas Savienības fondu vadībā iesaistītās institūcijas šo fondu ieviešanu 2021.–2027.gada plānošanas periodā </w:t>
      </w:r>
      <w:r w:rsidRPr="0097713D">
        <w:rPr>
          <w:sz w:val="16"/>
          <w:szCs w:val="16"/>
          <w:highlight w:val="yellow"/>
        </w:rPr>
        <w:t>(projekts)</w:t>
      </w:r>
      <w:r w:rsidRPr="0097713D">
        <w:rPr>
          <w:sz w:val="16"/>
          <w:szCs w:val="16"/>
        </w:rPr>
        <w:t xml:space="preserve"> </w:t>
      </w:r>
    </w:p>
  </w:footnote>
  <w:footnote w:id="2">
    <w:p w14:paraId="6AEAF00B" w14:textId="77777777" w:rsidR="00967FD9" w:rsidRPr="0043268A" w:rsidRDefault="00967FD9" w:rsidP="00AD4BB1">
      <w:pPr>
        <w:pStyle w:val="FootnoteText"/>
        <w:rPr>
          <w:sz w:val="18"/>
          <w:szCs w:val="18"/>
        </w:rPr>
      </w:pPr>
      <w:r w:rsidRPr="0097713D">
        <w:rPr>
          <w:rStyle w:val="FootnoteReference"/>
          <w:sz w:val="16"/>
          <w:szCs w:val="16"/>
        </w:rPr>
        <w:footnoteRef/>
      </w:r>
      <w:r w:rsidRPr="0097713D">
        <w:rPr>
          <w:sz w:val="16"/>
          <w:szCs w:val="16"/>
        </w:rPr>
        <w:t xml:space="preserve"> Atbilstoši Eiropas Savienības fondu 2021.–2027.gada plānošanas perioda vadības likuma 1.panta 3.punkta b., c. un d. apakšpunktam.</w:t>
      </w:r>
    </w:p>
  </w:footnote>
  <w:footnote w:id="3">
    <w:p w14:paraId="5207CCC2" w14:textId="77777777" w:rsidR="00967FD9" w:rsidRPr="0097713D" w:rsidRDefault="00967FD9" w:rsidP="00AD4BB1">
      <w:pPr>
        <w:pStyle w:val="FootnoteText"/>
        <w:rPr>
          <w:sz w:val="16"/>
          <w:szCs w:val="16"/>
        </w:rPr>
      </w:pPr>
      <w:r w:rsidRPr="0097713D">
        <w:rPr>
          <w:rStyle w:val="FootnoteReference"/>
          <w:sz w:val="16"/>
          <w:szCs w:val="16"/>
        </w:rPr>
        <w:footnoteRef/>
      </w:r>
      <w:r w:rsidRPr="0097713D">
        <w:rPr>
          <w:sz w:val="16"/>
          <w:szCs w:val="16"/>
        </w:rPr>
        <w:t xml:space="preserve"> Atbilstoši Eiropas Savienības fondu 2021.–2027.gada plānošanas perioda vadības likuma 1.panta 3.punkta a. apakšpunktam.</w:t>
      </w:r>
    </w:p>
  </w:footnote>
  <w:footnote w:id="4">
    <w:p w14:paraId="10470493" w14:textId="77777777" w:rsidR="00967FD9" w:rsidRPr="0097713D" w:rsidRDefault="00967FD9" w:rsidP="00AD4BB1">
      <w:pPr>
        <w:pStyle w:val="FootnoteText"/>
        <w:rPr>
          <w:sz w:val="16"/>
          <w:szCs w:val="16"/>
        </w:rPr>
      </w:pPr>
      <w:r w:rsidRPr="0097713D">
        <w:rPr>
          <w:rStyle w:val="FootnoteReference"/>
          <w:sz w:val="16"/>
          <w:szCs w:val="16"/>
        </w:rPr>
        <w:footnoteRef/>
      </w:r>
      <w:r w:rsidRPr="0097713D">
        <w:rPr>
          <w:sz w:val="16"/>
          <w:szCs w:val="16"/>
        </w:rPr>
        <w:t xml:space="preserve"> Kritēriju piemērošanas skaidrojumi, kas iekļauti šīs metodikas 2. un 3.pielikumā.</w:t>
      </w:r>
    </w:p>
  </w:footnote>
  <w:footnote w:id="5">
    <w:p w14:paraId="0F872391" w14:textId="77777777" w:rsidR="00967FD9" w:rsidRPr="0043268A" w:rsidRDefault="00967FD9" w:rsidP="00AD4BB1">
      <w:pPr>
        <w:pStyle w:val="FootnoteText"/>
        <w:rPr>
          <w:sz w:val="18"/>
          <w:szCs w:val="18"/>
        </w:rPr>
      </w:pPr>
      <w:r w:rsidRPr="0097713D">
        <w:rPr>
          <w:rStyle w:val="FootnoteReference"/>
          <w:sz w:val="16"/>
          <w:szCs w:val="16"/>
        </w:rPr>
        <w:footnoteRef/>
      </w:r>
      <w:r w:rsidRPr="0097713D">
        <w:rPr>
          <w:sz w:val="16"/>
          <w:szCs w:val="16"/>
        </w:rPr>
        <w:t xml:space="preserve"> Atbilstoši Eiropas Savienības fondu 2021.–2027.gada plānošanas perioda vadības likuma 1.panta 3.punkta b., c. un d. apakšpunktam.</w:t>
      </w:r>
    </w:p>
  </w:footnote>
  <w:footnote w:id="6">
    <w:p w14:paraId="4E6C32F0" w14:textId="77777777" w:rsidR="00967FD9" w:rsidRPr="0097713D" w:rsidRDefault="00967FD9" w:rsidP="00AD4BB1">
      <w:pPr>
        <w:pStyle w:val="FootnoteText"/>
        <w:rPr>
          <w:sz w:val="16"/>
          <w:szCs w:val="16"/>
        </w:rPr>
      </w:pPr>
      <w:r w:rsidRPr="0097713D">
        <w:rPr>
          <w:rStyle w:val="FootnoteReference"/>
          <w:sz w:val="16"/>
          <w:szCs w:val="16"/>
        </w:rPr>
        <w:footnoteRef/>
      </w:r>
      <w:r w:rsidRPr="0097713D">
        <w:rPr>
          <w:sz w:val="16"/>
          <w:szCs w:val="16"/>
        </w:rPr>
        <w:t xml:space="preserve"> Atbilstoši Eiropas Savienības fondu 2021.–2027.gada plānošanas perioda vadības likuma 1.panta 3.punkta a. apakšpunktam.</w:t>
      </w:r>
    </w:p>
  </w:footnote>
  <w:footnote w:id="7">
    <w:p w14:paraId="27EB030C" w14:textId="77777777" w:rsidR="00967FD9" w:rsidRPr="00A90CB7" w:rsidRDefault="00967FD9" w:rsidP="00AD4BB1">
      <w:pPr>
        <w:pStyle w:val="CommentText"/>
        <w:spacing w:after="0"/>
        <w:rPr>
          <w:rFonts w:ascii="Times New Roman" w:hAnsi="Times New Roman"/>
          <w:sz w:val="18"/>
          <w:szCs w:val="18"/>
        </w:rPr>
      </w:pPr>
      <w:r w:rsidRPr="0097713D">
        <w:rPr>
          <w:rStyle w:val="FootnoteReference"/>
          <w:rFonts w:ascii="Times New Roman" w:hAnsi="Times New Roman"/>
          <w:sz w:val="16"/>
          <w:szCs w:val="16"/>
        </w:rPr>
        <w:footnoteRef/>
      </w:r>
      <w:r w:rsidRPr="0097713D">
        <w:rPr>
          <w:rFonts w:ascii="Times New Roman" w:hAnsi="Times New Roman"/>
          <w:sz w:val="16"/>
          <w:szCs w:val="16"/>
        </w:rPr>
        <w:t xml:space="preserve"> Atbilstoši Eiropas Savienības fondu 2021.–2027.gada plānošanas perioda vadības likuma 22.pantam</w:t>
      </w:r>
    </w:p>
  </w:footnote>
  <w:footnote w:id="8">
    <w:p w14:paraId="7DE09F60" w14:textId="77777777" w:rsidR="00967FD9" w:rsidRPr="0043268A" w:rsidRDefault="00967FD9" w:rsidP="00AD4BB1">
      <w:pPr>
        <w:pStyle w:val="FootnoteText"/>
        <w:rPr>
          <w:sz w:val="18"/>
          <w:szCs w:val="18"/>
        </w:rPr>
      </w:pPr>
      <w:r w:rsidRPr="00A90CB7">
        <w:rPr>
          <w:rStyle w:val="FootnoteReference"/>
          <w:sz w:val="18"/>
          <w:szCs w:val="18"/>
        </w:rPr>
        <w:footnoteRef/>
      </w:r>
      <w:r w:rsidRPr="00A90CB7">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9">
    <w:p w14:paraId="2D4F12AC" w14:textId="77777777" w:rsidR="00967FD9" w:rsidRPr="00CE4D1E" w:rsidRDefault="00967FD9" w:rsidP="00AD4BB1">
      <w:pPr>
        <w:pStyle w:val="FootnoteText"/>
        <w:jc w:val="both"/>
        <w:rPr>
          <w:sz w:val="16"/>
          <w:szCs w:val="16"/>
        </w:rPr>
      </w:pPr>
      <w:r w:rsidRPr="006304BE">
        <w:rPr>
          <w:rStyle w:val="FootnoteReference"/>
          <w:sz w:val="16"/>
          <w:szCs w:val="16"/>
        </w:rPr>
        <w:footnoteRef/>
      </w:r>
      <w:r w:rsidRPr="006304BE">
        <w:rPr>
          <w:sz w:val="16"/>
          <w:szCs w:val="16"/>
        </w:rPr>
        <w:t xml:space="preserve"> Izņemot ierobežotas projektu iesniegumu atlases gadījumā, kuras ietvaros visi projektu iesniegumu vērtēšanas kritēriji ir precizējami, izņemot </w:t>
      </w:r>
      <w:r>
        <w:rPr>
          <w:sz w:val="16"/>
          <w:szCs w:val="16"/>
        </w:rPr>
        <w:t xml:space="preserve">šīs metodikas 3.pielikumā ietverto </w:t>
      </w:r>
      <w:r w:rsidRPr="006304BE">
        <w:rPr>
          <w:sz w:val="16"/>
          <w:szCs w:val="16"/>
        </w:rPr>
        <w:t>1.vienoto izvēles kritēriju “Projekta iesniedzējs un sadarbības partneris (ja tāds ir paredzēts) nav grūtībās nonācis saimniecis</w:t>
      </w:r>
      <w:r w:rsidRPr="00496AA5">
        <w:rPr>
          <w:sz w:val="16"/>
          <w:szCs w:val="16"/>
        </w:rPr>
        <w:t>kās darbības veicējs (attiecināms, ja prasības izvirzītas MK noteikumos par SAM īstenošanu)”</w:t>
      </w:r>
    </w:p>
  </w:footnote>
  <w:footnote w:id="10">
    <w:p w14:paraId="4D8C206F" w14:textId="77777777" w:rsidR="00967FD9" w:rsidRPr="006304BE" w:rsidRDefault="00967FD9" w:rsidP="00AD4BB1">
      <w:pPr>
        <w:pStyle w:val="FootnoteText"/>
        <w:jc w:val="both"/>
        <w:rPr>
          <w:sz w:val="16"/>
          <w:szCs w:val="16"/>
        </w:rPr>
      </w:pPr>
      <w:r w:rsidRPr="006304BE">
        <w:rPr>
          <w:rStyle w:val="FootnoteReference"/>
          <w:sz w:val="16"/>
          <w:szCs w:val="16"/>
        </w:rPr>
        <w:footnoteRef/>
      </w:r>
      <w:r w:rsidRPr="006304BE">
        <w:rPr>
          <w:sz w:val="16"/>
          <w:szCs w:val="16"/>
        </w:rPr>
        <w:t xml:space="preserve"> </w:t>
      </w:r>
      <w:hyperlink r:id="rId1" w:history="1">
        <w:r w:rsidRPr="006304BE">
          <w:rPr>
            <w:rStyle w:val="Hyperlink"/>
            <w:sz w:val="16"/>
            <w:szCs w:val="16"/>
          </w:rPr>
          <w:t>https://www.varam.gov.lv/lv/zalais-publiskais-iepirkums</w:t>
        </w:r>
      </w:hyperlink>
      <w:r w:rsidRPr="006304BE">
        <w:rPr>
          <w:sz w:val="16"/>
          <w:szCs w:val="16"/>
        </w:rPr>
        <w:t xml:space="preserve"> </w:t>
      </w:r>
    </w:p>
  </w:footnote>
  <w:footnote w:id="11">
    <w:p w14:paraId="13C514E6" w14:textId="77777777" w:rsidR="00967FD9" w:rsidRPr="006304BE" w:rsidRDefault="00967FD9" w:rsidP="00AD4BB1">
      <w:pPr>
        <w:pStyle w:val="FootnoteText"/>
        <w:jc w:val="both"/>
        <w:rPr>
          <w:sz w:val="16"/>
          <w:szCs w:val="16"/>
        </w:rPr>
      </w:pPr>
      <w:r w:rsidRPr="006304BE">
        <w:rPr>
          <w:rStyle w:val="FootnoteReference"/>
          <w:sz w:val="16"/>
          <w:szCs w:val="16"/>
        </w:rPr>
        <w:footnoteRef/>
      </w:r>
      <w:r w:rsidRPr="006304BE">
        <w:rPr>
          <w:sz w:val="16"/>
          <w:szCs w:val="16"/>
        </w:rPr>
        <w:t xml:space="preserve"> Atbilstoši Kopīgo noteikumu regulas 73.punkta 2.</w:t>
      </w:r>
      <w:r>
        <w:rPr>
          <w:sz w:val="16"/>
          <w:szCs w:val="16"/>
        </w:rPr>
        <w:t>punkta</w:t>
      </w:r>
      <w:r w:rsidRPr="006304BE">
        <w:rPr>
          <w:sz w:val="16"/>
          <w:szCs w:val="16"/>
        </w:rPr>
        <w:t xml:space="preserve"> j</w:t>
      </w:r>
      <w:r>
        <w:rPr>
          <w:sz w:val="16"/>
          <w:szCs w:val="16"/>
        </w:rPr>
        <w:t>.</w:t>
      </w:r>
      <w:r w:rsidRPr="006304BE">
        <w:rPr>
          <w:sz w:val="16"/>
          <w:szCs w:val="16"/>
        </w:rPr>
        <w:t xml:space="preserve"> apakšpunktam “Atlasot darbības .. nodrošina </w:t>
      </w:r>
      <w:proofErr w:type="spellStart"/>
      <w:r w:rsidRPr="006304BE">
        <w:rPr>
          <w:sz w:val="16"/>
          <w:szCs w:val="16"/>
        </w:rPr>
        <w:t>klimatnoturību</w:t>
      </w:r>
      <w:proofErr w:type="spellEnd"/>
      <w:r w:rsidRPr="006304BE">
        <w:rPr>
          <w:sz w:val="16"/>
          <w:szCs w:val="16"/>
        </w:rPr>
        <w:t xml:space="preserve"> investīcijām infrastruktūrā, kuras paredzamais kalpošanas laiks ir vismaz pieci gadi”</w:t>
      </w:r>
    </w:p>
  </w:footnote>
  <w:footnote w:id="12">
    <w:p w14:paraId="0ABF757A" w14:textId="77777777" w:rsidR="00967FD9" w:rsidRDefault="00967FD9" w:rsidP="00AD4BB1">
      <w:pPr>
        <w:pStyle w:val="FootnoteText"/>
        <w:jc w:val="both"/>
        <w:rPr>
          <w:rFonts w:eastAsiaTheme="minorHAnsi"/>
          <w:sz w:val="16"/>
          <w:szCs w:val="16"/>
        </w:rPr>
      </w:pPr>
      <w:r>
        <w:rPr>
          <w:rStyle w:val="FootnoteReference"/>
          <w:sz w:val="16"/>
          <w:szCs w:val="16"/>
        </w:rPr>
        <w:t>[1]</w:t>
      </w:r>
      <w:r>
        <w:rPr>
          <w:sz w:val="16"/>
          <w:szCs w:val="16"/>
        </w:rPr>
        <w:t xml:space="preserve"> Atbilstoši Kopīgo noteikumu regulas 73.punkta 2.punkta j. apakšpunktam “Atlasot darbības .. nodrošina </w:t>
      </w:r>
      <w:proofErr w:type="spellStart"/>
      <w:r>
        <w:rPr>
          <w:b/>
          <w:bCs/>
          <w:sz w:val="16"/>
          <w:szCs w:val="16"/>
        </w:rPr>
        <w:t>klimatdrošināšanu</w:t>
      </w:r>
      <w:proofErr w:type="spellEnd"/>
      <w:r>
        <w:rPr>
          <w:b/>
          <w:bCs/>
          <w:sz w:val="16"/>
          <w:szCs w:val="16"/>
        </w:rPr>
        <w:t xml:space="preserve"> </w:t>
      </w:r>
      <w:r>
        <w:rPr>
          <w:sz w:val="16"/>
          <w:szCs w:val="16"/>
        </w:rPr>
        <w:t>investīcijām infrastruktūrā, kuras paredzamais kalpošanas laiks ir vismaz pieci gadi”</w:t>
      </w:r>
    </w:p>
  </w:footnote>
  <w:footnote w:id="13">
    <w:p w14:paraId="6E0A8C74" w14:textId="77777777" w:rsidR="00967FD9" w:rsidRPr="0097713D" w:rsidRDefault="00967FD9" w:rsidP="00AD4BB1">
      <w:pPr>
        <w:pStyle w:val="FootnoteText"/>
        <w:jc w:val="both"/>
        <w:rPr>
          <w:sz w:val="16"/>
          <w:szCs w:val="16"/>
        </w:rPr>
      </w:pPr>
      <w:r w:rsidRPr="0097713D">
        <w:rPr>
          <w:rStyle w:val="FootnoteReference"/>
          <w:sz w:val="16"/>
          <w:szCs w:val="16"/>
        </w:rPr>
        <w:footnoteRef/>
      </w:r>
      <w:r w:rsidRPr="0097713D">
        <w:rPr>
          <w:sz w:val="16"/>
          <w:szCs w:val="16"/>
        </w:rP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97713D">
          <w:rPr>
            <w:rStyle w:val="Hyperlink"/>
            <w:sz w:val="16"/>
            <w:szCs w:val="16"/>
          </w:rPr>
          <w:t>https://eur-lex.europa.eu/legal-content/LV/TXT/HTML/?uri=CELEX:32021R1060&amp;qid=1625116684765&amp;from=EN</w:t>
        </w:r>
      </w:hyperlink>
      <w:r w:rsidRPr="0097713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197" w:hanging="360"/>
      </w:pPr>
      <w:rPr>
        <w:rFonts w:ascii="Symbol" w:hAnsi="Symbol" w:hint="default"/>
      </w:rPr>
    </w:lvl>
    <w:lvl w:ilvl="1" w:tplc="04260003" w:tentative="1">
      <w:start w:val="1"/>
      <w:numFmt w:val="bullet"/>
      <w:lvlText w:val="o"/>
      <w:lvlJc w:val="left"/>
      <w:pPr>
        <w:ind w:left="917" w:hanging="360"/>
      </w:pPr>
      <w:rPr>
        <w:rFonts w:ascii="Courier New" w:hAnsi="Courier New" w:cs="Courier New" w:hint="default"/>
      </w:rPr>
    </w:lvl>
    <w:lvl w:ilvl="2" w:tplc="04260005" w:tentative="1">
      <w:start w:val="1"/>
      <w:numFmt w:val="bullet"/>
      <w:lvlText w:val=""/>
      <w:lvlJc w:val="left"/>
      <w:pPr>
        <w:ind w:left="1637" w:hanging="360"/>
      </w:pPr>
      <w:rPr>
        <w:rFonts w:ascii="Wingdings" w:hAnsi="Wingdings" w:hint="default"/>
      </w:rPr>
    </w:lvl>
    <w:lvl w:ilvl="3" w:tplc="04260001" w:tentative="1">
      <w:start w:val="1"/>
      <w:numFmt w:val="bullet"/>
      <w:lvlText w:val=""/>
      <w:lvlJc w:val="left"/>
      <w:pPr>
        <w:ind w:left="2357" w:hanging="360"/>
      </w:pPr>
      <w:rPr>
        <w:rFonts w:ascii="Symbol" w:hAnsi="Symbol" w:hint="default"/>
      </w:rPr>
    </w:lvl>
    <w:lvl w:ilvl="4" w:tplc="04260003" w:tentative="1">
      <w:start w:val="1"/>
      <w:numFmt w:val="bullet"/>
      <w:lvlText w:val="o"/>
      <w:lvlJc w:val="left"/>
      <w:pPr>
        <w:ind w:left="3077" w:hanging="360"/>
      </w:pPr>
      <w:rPr>
        <w:rFonts w:ascii="Courier New" w:hAnsi="Courier New" w:cs="Courier New" w:hint="default"/>
      </w:rPr>
    </w:lvl>
    <w:lvl w:ilvl="5" w:tplc="04260005" w:tentative="1">
      <w:start w:val="1"/>
      <w:numFmt w:val="bullet"/>
      <w:lvlText w:val=""/>
      <w:lvlJc w:val="left"/>
      <w:pPr>
        <w:ind w:left="3797" w:hanging="360"/>
      </w:pPr>
      <w:rPr>
        <w:rFonts w:ascii="Wingdings" w:hAnsi="Wingdings" w:hint="default"/>
      </w:rPr>
    </w:lvl>
    <w:lvl w:ilvl="6" w:tplc="04260001" w:tentative="1">
      <w:start w:val="1"/>
      <w:numFmt w:val="bullet"/>
      <w:lvlText w:val=""/>
      <w:lvlJc w:val="left"/>
      <w:pPr>
        <w:ind w:left="4517" w:hanging="360"/>
      </w:pPr>
      <w:rPr>
        <w:rFonts w:ascii="Symbol" w:hAnsi="Symbol" w:hint="default"/>
      </w:rPr>
    </w:lvl>
    <w:lvl w:ilvl="7" w:tplc="04260003" w:tentative="1">
      <w:start w:val="1"/>
      <w:numFmt w:val="bullet"/>
      <w:lvlText w:val="o"/>
      <w:lvlJc w:val="left"/>
      <w:pPr>
        <w:ind w:left="5237" w:hanging="360"/>
      </w:pPr>
      <w:rPr>
        <w:rFonts w:ascii="Courier New" w:hAnsi="Courier New" w:cs="Courier New" w:hint="default"/>
      </w:rPr>
    </w:lvl>
    <w:lvl w:ilvl="8" w:tplc="04260005" w:tentative="1">
      <w:start w:val="1"/>
      <w:numFmt w:val="bullet"/>
      <w:lvlText w:val=""/>
      <w:lvlJc w:val="left"/>
      <w:pPr>
        <w:ind w:left="5957"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C083B"/>
    <w:multiLevelType w:val="hybridMultilevel"/>
    <w:tmpl w:val="2460D82E"/>
    <w:lvl w:ilvl="0" w:tplc="D3F4AFE0">
      <w:start w:val="1"/>
      <w:numFmt w:val="decimal"/>
      <w:lvlText w:val="%1."/>
      <w:lvlJc w:val="left"/>
      <w:pPr>
        <w:ind w:left="-67" w:hanging="360"/>
      </w:pPr>
      <w:rPr>
        <w:b w:val="0"/>
        <w:bCs/>
      </w:rPr>
    </w:lvl>
    <w:lvl w:ilvl="1" w:tplc="04260019" w:tentative="1">
      <w:start w:val="1"/>
      <w:numFmt w:val="lowerLetter"/>
      <w:lvlText w:val="%2."/>
      <w:lvlJc w:val="left"/>
      <w:pPr>
        <w:ind w:left="653" w:hanging="360"/>
      </w:pPr>
    </w:lvl>
    <w:lvl w:ilvl="2" w:tplc="0426001B" w:tentative="1">
      <w:start w:val="1"/>
      <w:numFmt w:val="lowerRoman"/>
      <w:lvlText w:val="%3."/>
      <w:lvlJc w:val="right"/>
      <w:pPr>
        <w:ind w:left="1373" w:hanging="180"/>
      </w:pPr>
    </w:lvl>
    <w:lvl w:ilvl="3" w:tplc="0426000F" w:tentative="1">
      <w:start w:val="1"/>
      <w:numFmt w:val="decimal"/>
      <w:lvlText w:val="%4."/>
      <w:lvlJc w:val="left"/>
      <w:pPr>
        <w:ind w:left="2093" w:hanging="360"/>
      </w:pPr>
    </w:lvl>
    <w:lvl w:ilvl="4" w:tplc="04260019" w:tentative="1">
      <w:start w:val="1"/>
      <w:numFmt w:val="lowerLetter"/>
      <w:lvlText w:val="%5."/>
      <w:lvlJc w:val="left"/>
      <w:pPr>
        <w:ind w:left="2813" w:hanging="360"/>
      </w:pPr>
    </w:lvl>
    <w:lvl w:ilvl="5" w:tplc="0426001B" w:tentative="1">
      <w:start w:val="1"/>
      <w:numFmt w:val="lowerRoman"/>
      <w:lvlText w:val="%6."/>
      <w:lvlJc w:val="right"/>
      <w:pPr>
        <w:ind w:left="3533" w:hanging="180"/>
      </w:pPr>
    </w:lvl>
    <w:lvl w:ilvl="6" w:tplc="0426000F" w:tentative="1">
      <w:start w:val="1"/>
      <w:numFmt w:val="decimal"/>
      <w:lvlText w:val="%7."/>
      <w:lvlJc w:val="left"/>
      <w:pPr>
        <w:ind w:left="4253" w:hanging="360"/>
      </w:pPr>
    </w:lvl>
    <w:lvl w:ilvl="7" w:tplc="04260019" w:tentative="1">
      <w:start w:val="1"/>
      <w:numFmt w:val="lowerLetter"/>
      <w:lvlText w:val="%8."/>
      <w:lvlJc w:val="left"/>
      <w:pPr>
        <w:ind w:left="4973" w:hanging="360"/>
      </w:pPr>
    </w:lvl>
    <w:lvl w:ilvl="8" w:tplc="0426001B" w:tentative="1">
      <w:start w:val="1"/>
      <w:numFmt w:val="lowerRoman"/>
      <w:lvlText w:val="%9."/>
      <w:lvlJc w:val="right"/>
      <w:pPr>
        <w:ind w:left="5693" w:hanging="180"/>
      </w:pPr>
    </w:lvl>
  </w:abstractNum>
  <w:abstractNum w:abstractNumId="3" w15:restartNumberingAfterBreak="0">
    <w:nsid w:val="0E0A4064"/>
    <w:multiLevelType w:val="hybridMultilevel"/>
    <w:tmpl w:val="15C8DE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4A619E"/>
    <w:multiLevelType w:val="hybridMultilevel"/>
    <w:tmpl w:val="5FACA9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734AD3"/>
    <w:multiLevelType w:val="hybridMultilevel"/>
    <w:tmpl w:val="7016730A"/>
    <w:lvl w:ilvl="0" w:tplc="0409000F">
      <w:start w:val="1"/>
      <w:numFmt w:val="decimal"/>
      <w:lvlText w:val="%1."/>
      <w:lvlJc w:val="left"/>
      <w:pPr>
        <w:ind w:left="360" w:hanging="360"/>
      </w:pPr>
      <w:rPr>
        <w:rFonts w:hint="default"/>
      </w:rPr>
    </w:lvl>
    <w:lvl w:ilvl="1" w:tplc="DE3C2B3E">
      <w:start w:val="1"/>
      <w:numFmt w:val="lowerLetter"/>
      <w:lvlText w:val="%2."/>
      <w:lvlJc w:val="left"/>
      <w:pPr>
        <w:ind w:left="501" w:hanging="360"/>
      </w:pPr>
      <w:rPr>
        <w:b w:val="0"/>
        <w:bCs w:val="0"/>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3BEC1098"/>
    <w:multiLevelType w:val="hybridMultilevel"/>
    <w:tmpl w:val="6C5C6C7A"/>
    <w:lvl w:ilvl="0" w:tplc="FFFFFFFF">
      <w:start w:val="1"/>
      <w:numFmt w:val="decimal"/>
      <w:lvlText w:val="%1)"/>
      <w:lvlJc w:val="left"/>
      <w:pPr>
        <w:ind w:left="928"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3C914474"/>
    <w:multiLevelType w:val="hybridMultilevel"/>
    <w:tmpl w:val="1ACC6830"/>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A1869"/>
    <w:multiLevelType w:val="hybridMultilevel"/>
    <w:tmpl w:val="8F5E7628"/>
    <w:lvl w:ilvl="0" w:tplc="6AFEEE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B6B89"/>
    <w:multiLevelType w:val="hybridMultilevel"/>
    <w:tmpl w:val="260E5910"/>
    <w:lvl w:ilvl="0" w:tplc="C22CC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60AE6"/>
    <w:multiLevelType w:val="hybridMultilevel"/>
    <w:tmpl w:val="CA1ACC7C"/>
    <w:lvl w:ilvl="0" w:tplc="4BDC8AFC">
      <w:start w:val="1"/>
      <w:numFmt w:val="decimal"/>
      <w:lvlText w:val="%1)"/>
      <w:lvlJc w:val="left"/>
      <w:pPr>
        <w:ind w:left="720" w:hanging="360"/>
      </w:pPr>
      <w:rPr>
        <w:rFonts w:ascii="Times New Roman" w:eastAsia="Times New Roman" w:hAnsi="Times New Roman" w:cs="Times New Roman"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7A0707C"/>
    <w:multiLevelType w:val="hybridMultilevel"/>
    <w:tmpl w:val="A02AF0E4"/>
    <w:lvl w:ilvl="0" w:tplc="D9482048">
      <w:start w:val="1"/>
      <w:numFmt w:val="decimal"/>
      <w:lvlText w:val="%1)"/>
      <w:lvlJc w:val="left"/>
      <w:pPr>
        <w:ind w:left="502"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632426BA"/>
    <w:multiLevelType w:val="hybridMultilevel"/>
    <w:tmpl w:val="4D58A7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3B0F39"/>
    <w:multiLevelType w:val="hybridMultilevel"/>
    <w:tmpl w:val="9766C10E"/>
    <w:lvl w:ilvl="0" w:tplc="E70C74D6">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8B6C8B"/>
    <w:multiLevelType w:val="hybridMultilevel"/>
    <w:tmpl w:val="7B0C096E"/>
    <w:lvl w:ilvl="0" w:tplc="CE46D7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556C98"/>
    <w:multiLevelType w:val="hybridMultilevel"/>
    <w:tmpl w:val="5316FDF6"/>
    <w:lvl w:ilvl="0" w:tplc="CF1CF9A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BE1851"/>
    <w:multiLevelType w:val="hybridMultilevel"/>
    <w:tmpl w:val="6EBCB692"/>
    <w:lvl w:ilvl="0" w:tplc="A6D6D1E2">
      <w:start w:val="1"/>
      <w:numFmt w:val="decimal"/>
      <w:lvlText w:val="%1)"/>
      <w:lvlJc w:val="left"/>
      <w:pPr>
        <w:ind w:left="928"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7"/>
  </w:num>
  <w:num w:numId="3">
    <w:abstractNumId w:val="14"/>
  </w:num>
  <w:num w:numId="4">
    <w:abstractNumId w:val="5"/>
  </w:num>
  <w:num w:numId="5">
    <w:abstractNumId w:val="9"/>
  </w:num>
  <w:num w:numId="6">
    <w:abstractNumId w:val="17"/>
  </w:num>
  <w:num w:numId="7">
    <w:abstractNumId w:val="0"/>
  </w:num>
  <w:num w:numId="8">
    <w:abstractNumId w:val="1"/>
  </w:num>
  <w:num w:numId="9">
    <w:abstractNumId w:val="18"/>
  </w:num>
  <w:num w:numId="10">
    <w:abstractNumId w:val="6"/>
  </w:num>
  <w:num w:numId="11">
    <w:abstractNumId w:val="12"/>
  </w:num>
  <w:num w:numId="12">
    <w:abstractNumId w:val="3"/>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3"/>
  </w:num>
  <w:num w:numId="16">
    <w:abstractNumId w:val="10"/>
  </w:num>
  <w:num w:numId="17">
    <w:abstractNumId w:val="15"/>
  </w:num>
  <w:num w:numId="18">
    <w:abstractNumId w:val="8"/>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57"/>
    <w:rsid w:val="00002E7A"/>
    <w:rsid w:val="0000352F"/>
    <w:rsid w:val="00003C69"/>
    <w:rsid w:val="0000623A"/>
    <w:rsid w:val="00007536"/>
    <w:rsid w:val="000111FD"/>
    <w:rsid w:val="00011E04"/>
    <w:rsid w:val="00012547"/>
    <w:rsid w:val="00012BA2"/>
    <w:rsid w:val="00013C07"/>
    <w:rsid w:val="000175F1"/>
    <w:rsid w:val="00017D77"/>
    <w:rsid w:val="00017F0E"/>
    <w:rsid w:val="00017F78"/>
    <w:rsid w:val="000215DA"/>
    <w:rsid w:val="000225A0"/>
    <w:rsid w:val="000225D6"/>
    <w:rsid w:val="000233A7"/>
    <w:rsid w:val="0002385A"/>
    <w:rsid w:val="00023CC9"/>
    <w:rsid w:val="00024147"/>
    <w:rsid w:val="00024356"/>
    <w:rsid w:val="00030BA4"/>
    <w:rsid w:val="00031ED5"/>
    <w:rsid w:val="00031FD0"/>
    <w:rsid w:val="00032077"/>
    <w:rsid w:val="000323AC"/>
    <w:rsid w:val="00032ED0"/>
    <w:rsid w:val="000330D6"/>
    <w:rsid w:val="000333C2"/>
    <w:rsid w:val="00033D6E"/>
    <w:rsid w:val="00034BC1"/>
    <w:rsid w:val="00034E4B"/>
    <w:rsid w:val="000359C3"/>
    <w:rsid w:val="00035D06"/>
    <w:rsid w:val="000405E8"/>
    <w:rsid w:val="000406B9"/>
    <w:rsid w:val="00041135"/>
    <w:rsid w:val="000419F7"/>
    <w:rsid w:val="00042517"/>
    <w:rsid w:val="00042766"/>
    <w:rsid w:val="00042956"/>
    <w:rsid w:val="00042FEA"/>
    <w:rsid w:val="00043173"/>
    <w:rsid w:val="00043198"/>
    <w:rsid w:val="00043983"/>
    <w:rsid w:val="00044732"/>
    <w:rsid w:val="00044D6C"/>
    <w:rsid w:val="00045DD9"/>
    <w:rsid w:val="00046358"/>
    <w:rsid w:val="00046EBA"/>
    <w:rsid w:val="0004712C"/>
    <w:rsid w:val="0004791C"/>
    <w:rsid w:val="000524B5"/>
    <w:rsid w:val="0005470C"/>
    <w:rsid w:val="000547AE"/>
    <w:rsid w:val="000608C5"/>
    <w:rsid w:val="00061243"/>
    <w:rsid w:val="0006282B"/>
    <w:rsid w:val="000632E7"/>
    <w:rsid w:val="00063455"/>
    <w:rsid w:val="00065119"/>
    <w:rsid w:val="000710B1"/>
    <w:rsid w:val="00071249"/>
    <w:rsid w:val="00071504"/>
    <w:rsid w:val="000728AA"/>
    <w:rsid w:val="000738A7"/>
    <w:rsid w:val="00073921"/>
    <w:rsid w:val="00073EE2"/>
    <w:rsid w:val="000747E8"/>
    <w:rsid w:val="0007553B"/>
    <w:rsid w:val="00075F9A"/>
    <w:rsid w:val="0007611E"/>
    <w:rsid w:val="00076441"/>
    <w:rsid w:val="000768CA"/>
    <w:rsid w:val="00077602"/>
    <w:rsid w:val="00077A1F"/>
    <w:rsid w:val="000821B1"/>
    <w:rsid w:val="00084D59"/>
    <w:rsid w:val="0008592A"/>
    <w:rsid w:val="00085931"/>
    <w:rsid w:val="00087824"/>
    <w:rsid w:val="000906D4"/>
    <w:rsid w:val="00091227"/>
    <w:rsid w:val="000935D6"/>
    <w:rsid w:val="00094419"/>
    <w:rsid w:val="000951C4"/>
    <w:rsid w:val="00095931"/>
    <w:rsid w:val="00097E02"/>
    <w:rsid w:val="000A3564"/>
    <w:rsid w:val="000A388C"/>
    <w:rsid w:val="000A4221"/>
    <w:rsid w:val="000A44B2"/>
    <w:rsid w:val="000A4CCF"/>
    <w:rsid w:val="000A5441"/>
    <w:rsid w:val="000A6058"/>
    <w:rsid w:val="000A7B79"/>
    <w:rsid w:val="000B0609"/>
    <w:rsid w:val="000B0BED"/>
    <w:rsid w:val="000B0CFC"/>
    <w:rsid w:val="000B1F74"/>
    <w:rsid w:val="000B25B1"/>
    <w:rsid w:val="000B5BB4"/>
    <w:rsid w:val="000B6485"/>
    <w:rsid w:val="000B6C28"/>
    <w:rsid w:val="000B7924"/>
    <w:rsid w:val="000C14FE"/>
    <w:rsid w:val="000C1642"/>
    <w:rsid w:val="000C25C2"/>
    <w:rsid w:val="000C5C73"/>
    <w:rsid w:val="000C724B"/>
    <w:rsid w:val="000C7667"/>
    <w:rsid w:val="000D0826"/>
    <w:rsid w:val="000D086B"/>
    <w:rsid w:val="000D12B4"/>
    <w:rsid w:val="000D3558"/>
    <w:rsid w:val="000D3A52"/>
    <w:rsid w:val="000D49AD"/>
    <w:rsid w:val="000D4C0B"/>
    <w:rsid w:val="000D584F"/>
    <w:rsid w:val="000D7159"/>
    <w:rsid w:val="000E08FB"/>
    <w:rsid w:val="000E263B"/>
    <w:rsid w:val="000E2C0E"/>
    <w:rsid w:val="000E2CF2"/>
    <w:rsid w:val="000E4188"/>
    <w:rsid w:val="000E4B32"/>
    <w:rsid w:val="000E4C71"/>
    <w:rsid w:val="000E594A"/>
    <w:rsid w:val="000E5E25"/>
    <w:rsid w:val="000F039D"/>
    <w:rsid w:val="000F1A8A"/>
    <w:rsid w:val="000F3009"/>
    <w:rsid w:val="000F33C9"/>
    <w:rsid w:val="000F5BFE"/>
    <w:rsid w:val="00100476"/>
    <w:rsid w:val="00100667"/>
    <w:rsid w:val="00101504"/>
    <w:rsid w:val="0010173F"/>
    <w:rsid w:val="001028F7"/>
    <w:rsid w:val="0010336C"/>
    <w:rsid w:val="0010422F"/>
    <w:rsid w:val="00104464"/>
    <w:rsid w:val="00104F58"/>
    <w:rsid w:val="0010504A"/>
    <w:rsid w:val="001066E2"/>
    <w:rsid w:val="001067D4"/>
    <w:rsid w:val="001101DB"/>
    <w:rsid w:val="0011111A"/>
    <w:rsid w:val="00111E86"/>
    <w:rsid w:val="00112755"/>
    <w:rsid w:val="001130C5"/>
    <w:rsid w:val="001134E4"/>
    <w:rsid w:val="00116156"/>
    <w:rsid w:val="001227E2"/>
    <w:rsid w:val="00122F02"/>
    <w:rsid w:val="00123BE9"/>
    <w:rsid w:val="001254BA"/>
    <w:rsid w:val="0012555E"/>
    <w:rsid w:val="00125F98"/>
    <w:rsid w:val="00126700"/>
    <w:rsid w:val="00126EFD"/>
    <w:rsid w:val="00127554"/>
    <w:rsid w:val="0013087F"/>
    <w:rsid w:val="00131647"/>
    <w:rsid w:val="00131AB1"/>
    <w:rsid w:val="0013311D"/>
    <w:rsid w:val="00133139"/>
    <w:rsid w:val="00133E8C"/>
    <w:rsid w:val="00135C0E"/>
    <w:rsid w:val="0013615B"/>
    <w:rsid w:val="001368EE"/>
    <w:rsid w:val="00136B42"/>
    <w:rsid w:val="00136C72"/>
    <w:rsid w:val="0013720F"/>
    <w:rsid w:val="001430FE"/>
    <w:rsid w:val="00145770"/>
    <w:rsid w:val="0014679C"/>
    <w:rsid w:val="00147558"/>
    <w:rsid w:val="001501A5"/>
    <w:rsid w:val="00150607"/>
    <w:rsid w:val="0015133C"/>
    <w:rsid w:val="0015173C"/>
    <w:rsid w:val="00151D37"/>
    <w:rsid w:val="001522E7"/>
    <w:rsid w:val="001527B4"/>
    <w:rsid w:val="00153B04"/>
    <w:rsid w:val="001541D2"/>
    <w:rsid w:val="00156B7D"/>
    <w:rsid w:val="001605C5"/>
    <w:rsid w:val="00161E26"/>
    <w:rsid w:val="00163762"/>
    <w:rsid w:val="00167094"/>
    <w:rsid w:val="001704AE"/>
    <w:rsid w:val="00170C33"/>
    <w:rsid w:val="00171248"/>
    <w:rsid w:val="00173FA2"/>
    <w:rsid w:val="001747AB"/>
    <w:rsid w:val="0017535F"/>
    <w:rsid w:val="00177D0D"/>
    <w:rsid w:val="00177FF5"/>
    <w:rsid w:val="00180427"/>
    <w:rsid w:val="001811CD"/>
    <w:rsid w:val="00182669"/>
    <w:rsid w:val="00182727"/>
    <w:rsid w:val="0018409E"/>
    <w:rsid w:val="00184575"/>
    <w:rsid w:val="00184918"/>
    <w:rsid w:val="001851A1"/>
    <w:rsid w:val="00186AAC"/>
    <w:rsid w:val="00187DA3"/>
    <w:rsid w:val="0019068D"/>
    <w:rsid w:val="00191107"/>
    <w:rsid w:val="00191D88"/>
    <w:rsid w:val="001938EB"/>
    <w:rsid w:val="00193BA8"/>
    <w:rsid w:val="00194B97"/>
    <w:rsid w:val="001951FF"/>
    <w:rsid w:val="00195A16"/>
    <w:rsid w:val="00196EF0"/>
    <w:rsid w:val="0019716E"/>
    <w:rsid w:val="00197C82"/>
    <w:rsid w:val="001A006A"/>
    <w:rsid w:val="001A0F98"/>
    <w:rsid w:val="001A191E"/>
    <w:rsid w:val="001A2439"/>
    <w:rsid w:val="001A5367"/>
    <w:rsid w:val="001A6A71"/>
    <w:rsid w:val="001A7101"/>
    <w:rsid w:val="001A7942"/>
    <w:rsid w:val="001A7C39"/>
    <w:rsid w:val="001B06D9"/>
    <w:rsid w:val="001B0766"/>
    <w:rsid w:val="001B1304"/>
    <w:rsid w:val="001B13E6"/>
    <w:rsid w:val="001B1784"/>
    <w:rsid w:val="001B20B9"/>
    <w:rsid w:val="001B3B6D"/>
    <w:rsid w:val="001B3CB5"/>
    <w:rsid w:val="001B3D80"/>
    <w:rsid w:val="001B475F"/>
    <w:rsid w:val="001B75C2"/>
    <w:rsid w:val="001B7ED2"/>
    <w:rsid w:val="001C032D"/>
    <w:rsid w:val="001C1963"/>
    <w:rsid w:val="001C1B74"/>
    <w:rsid w:val="001C2AC1"/>
    <w:rsid w:val="001C32F2"/>
    <w:rsid w:val="001C45CA"/>
    <w:rsid w:val="001C594F"/>
    <w:rsid w:val="001D0E5C"/>
    <w:rsid w:val="001D2395"/>
    <w:rsid w:val="001D42B4"/>
    <w:rsid w:val="001D5C75"/>
    <w:rsid w:val="001D73BB"/>
    <w:rsid w:val="001E2470"/>
    <w:rsid w:val="001E275C"/>
    <w:rsid w:val="001E468A"/>
    <w:rsid w:val="001E5253"/>
    <w:rsid w:val="001E7FED"/>
    <w:rsid w:val="001F0076"/>
    <w:rsid w:val="001F027F"/>
    <w:rsid w:val="001F1AF0"/>
    <w:rsid w:val="001F2F04"/>
    <w:rsid w:val="001F434A"/>
    <w:rsid w:val="001F5B8E"/>
    <w:rsid w:val="001F73DA"/>
    <w:rsid w:val="002004DD"/>
    <w:rsid w:val="002032D5"/>
    <w:rsid w:val="00203328"/>
    <w:rsid w:val="0020367A"/>
    <w:rsid w:val="00204039"/>
    <w:rsid w:val="002041C2"/>
    <w:rsid w:val="00206258"/>
    <w:rsid w:val="002062C3"/>
    <w:rsid w:val="0020787D"/>
    <w:rsid w:val="0021126A"/>
    <w:rsid w:val="0021225B"/>
    <w:rsid w:val="00212EC5"/>
    <w:rsid w:val="00213BAA"/>
    <w:rsid w:val="00214930"/>
    <w:rsid w:val="00214CE9"/>
    <w:rsid w:val="00215615"/>
    <w:rsid w:val="00215815"/>
    <w:rsid w:val="00216676"/>
    <w:rsid w:val="002169AD"/>
    <w:rsid w:val="0022177B"/>
    <w:rsid w:val="00221ECD"/>
    <w:rsid w:val="00222DF3"/>
    <w:rsid w:val="0022387B"/>
    <w:rsid w:val="00223D43"/>
    <w:rsid w:val="00223F72"/>
    <w:rsid w:val="0022438C"/>
    <w:rsid w:val="00224F0B"/>
    <w:rsid w:val="00226202"/>
    <w:rsid w:val="0022624A"/>
    <w:rsid w:val="00227743"/>
    <w:rsid w:val="00230CB8"/>
    <w:rsid w:val="00231650"/>
    <w:rsid w:val="00233293"/>
    <w:rsid w:val="00234767"/>
    <w:rsid w:val="0023543F"/>
    <w:rsid w:val="00235686"/>
    <w:rsid w:val="00236BD7"/>
    <w:rsid w:val="00240054"/>
    <w:rsid w:val="00240D08"/>
    <w:rsid w:val="00242179"/>
    <w:rsid w:val="00244FE9"/>
    <w:rsid w:val="0024606A"/>
    <w:rsid w:val="00246F54"/>
    <w:rsid w:val="002526F2"/>
    <w:rsid w:val="00253909"/>
    <w:rsid w:val="00253DD9"/>
    <w:rsid w:val="00254218"/>
    <w:rsid w:val="00254C0D"/>
    <w:rsid w:val="00254F7F"/>
    <w:rsid w:val="00254F8A"/>
    <w:rsid w:val="00257C3B"/>
    <w:rsid w:val="00260658"/>
    <w:rsid w:val="00261799"/>
    <w:rsid w:val="002620C4"/>
    <w:rsid w:val="002621EF"/>
    <w:rsid w:val="00262988"/>
    <w:rsid w:val="00262A79"/>
    <w:rsid w:val="00262FE7"/>
    <w:rsid w:val="00265FF7"/>
    <w:rsid w:val="00266555"/>
    <w:rsid w:val="0026663F"/>
    <w:rsid w:val="00267979"/>
    <w:rsid w:val="002679F1"/>
    <w:rsid w:val="00267C15"/>
    <w:rsid w:val="00267EA1"/>
    <w:rsid w:val="0027042E"/>
    <w:rsid w:val="00270A77"/>
    <w:rsid w:val="00270C3E"/>
    <w:rsid w:val="00271263"/>
    <w:rsid w:val="00271EEC"/>
    <w:rsid w:val="0027249E"/>
    <w:rsid w:val="00276EA1"/>
    <w:rsid w:val="00280BF8"/>
    <w:rsid w:val="00281B35"/>
    <w:rsid w:val="00284DF4"/>
    <w:rsid w:val="00286764"/>
    <w:rsid w:val="002869D4"/>
    <w:rsid w:val="00286F23"/>
    <w:rsid w:val="0028785F"/>
    <w:rsid w:val="00290A47"/>
    <w:rsid w:val="00291C0E"/>
    <w:rsid w:val="00292EDD"/>
    <w:rsid w:val="00293BB0"/>
    <w:rsid w:val="00294492"/>
    <w:rsid w:val="00295DFE"/>
    <w:rsid w:val="00295FA9"/>
    <w:rsid w:val="0029601F"/>
    <w:rsid w:val="00297412"/>
    <w:rsid w:val="002A2323"/>
    <w:rsid w:val="002A2DCA"/>
    <w:rsid w:val="002A3F5F"/>
    <w:rsid w:val="002A5DAA"/>
    <w:rsid w:val="002A5FC1"/>
    <w:rsid w:val="002A69EC"/>
    <w:rsid w:val="002A72B1"/>
    <w:rsid w:val="002B14E7"/>
    <w:rsid w:val="002B166E"/>
    <w:rsid w:val="002B28B8"/>
    <w:rsid w:val="002B3C2F"/>
    <w:rsid w:val="002B52A0"/>
    <w:rsid w:val="002B5680"/>
    <w:rsid w:val="002C25FA"/>
    <w:rsid w:val="002C30F4"/>
    <w:rsid w:val="002C320D"/>
    <w:rsid w:val="002C41B6"/>
    <w:rsid w:val="002C46AC"/>
    <w:rsid w:val="002C7416"/>
    <w:rsid w:val="002D1838"/>
    <w:rsid w:val="002D2AB8"/>
    <w:rsid w:val="002D4FB3"/>
    <w:rsid w:val="002D50F3"/>
    <w:rsid w:val="002D59C5"/>
    <w:rsid w:val="002D5F21"/>
    <w:rsid w:val="002D615E"/>
    <w:rsid w:val="002D7280"/>
    <w:rsid w:val="002D7389"/>
    <w:rsid w:val="002E0DAE"/>
    <w:rsid w:val="002E32E2"/>
    <w:rsid w:val="002E63E9"/>
    <w:rsid w:val="002E6761"/>
    <w:rsid w:val="002E68D9"/>
    <w:rsid w:val="002E6CF0"/>
    <w:rsid w:val="002E7D73"/>
    <w:rsid w:val="002F0A06"/>
    <w:rsid w:val="002F0B51"/>
    <w:rsid w:val="002F353C"/>
    <w:rsid w:val="002F459E"/>
    <w:rsid w:val="002F5B33"/>
    <w:rsid w:val="002F5BA7"/>
    <w:rsid w:val="002F7D09"/>
    <w:rsid w:val="00300395"/>
    <w:rsid w:val="00300838"/>
    <w:rsid w:val="00300AA3"/>
    <w:rsid w:val="00301253"/>
    <w:rsid w:val="00301F54"/>
    <w:rsid w:val="003021B6"/>
    <w:rsid w:val="00302C8B"/>
    <w:rsid w:val="00304A07"/>
    <w:rsid w:val="00306034"/>
    <w:rsid w:val="00306114"/>
    <w:rsid w:val="00310F21"/>
    <w:rsid w:val="0031422E"/>
    <w:rsid w:val="00314591"/>
    <w:rsid w:val="00315E35"/>
    <w:rsid w:val="00316F7C"/>
    <w:rsid w:val="003171AE"/>
    <w:rsid w:val="00320520"/>
    <w:rsid w:val="00321324"/>
    <w:rsid w:val="003213CF"/>
    <w:rsid w:val="00322CC1"/>
    <w:rsid w:val="003239E7"/>
    <w:rsid w:val="00324506"/>
    <w:rsid w:val="003260F0"/>
    <w:rsid w:val="00326610"/>
    <w:rsid w:val="00327F01"/>
    <w:rsid w:val="0033031F"/>
    <w:rsid w:val="00333C8E"/>
    <w:rsid w:val="003345F1"/>
    <w:rsid w:val="00335ADE"/>
    <w:rsid w:val="003375FA"/>
    <w:rsid w:val="003405B7"/>
    <w:rsid w:val="00341798"/>
    <w:rsid w:val="00341C48"/>
    <w:rsid w:val="00341DA3"/>
    <w:rsid w:val="00342823"/>
    <w:rsid w:val="00342845"/>
    <w:rsid w:val="00345D5B"/>
    <w:rsid w:val="00345E97"/>
    <w:rsid w:val="00347166"/>
    <w:rsid w:val="0034752E"/>
    <w:rsid w:val="003503D4"/>
    <w:rsid w:val="00351BFC"/>
    <w:rsid w:val="00352252"/>
    <w:rsid w:val="003535A1"/>
    <w:rsid w:val="00354FF7"/>
    <w:rsid w:val="00355957"/>
    <w:rsid w:val="00355CD9"/>
    <w:rsid w:val="003567AA"/>
    <w:rsid w:val="00357391"/>
    <w:rsid w:val="0035742F"/>
    <w:rsid w:val="003611C6"/>
    <w:rsid w:val="003625E2"/>
    <w:rsid w:val="003641F1"/>
    <w:rsid w:val="00367E4E"/>
    <w:rsid w:val="00370936"/>
    <w:rsid w:val="00371710"/>
    <w:rsid w:val="00373E07"/>
    <w:rsid w:val="00374A20"/>
    <w:rsid w:val="00375667"/>
    <w:rsid w:val="00377D94"/>
    <w:rsid w:val="00380D90"/>
    <w:rsid w:val="00380E4E"/>
    <w:rsid w:val="0038102C"/>
    <w:rsid w:val="00381AD3"/>
    <w:rsid w:val="003823AF"/>
    <w:rsid w:val="0038477D"/>
    <w:rsid w:val="00384E8C"/>
    <w:rsid w:val="003859FC"/>
    <w:rsid w:val="0038793F"/>
    <w:rsid w:val="00387D5C"/>
    <w:rsid w:val="00387FFD"/>
    <w:rsid w:val="00390F6E"/>
    <w:rsid w:val="003912A7"/>
    <w:rsid w:val="00391397"/>
    <w:rsid w:val="0039184E"/>
    <w:rsid w:val="00391CB5"/>
    <w:rsid w:val="0039404A"/>
    <w:rsid w:val="00394FA5"/>
    <w:rsid w:val="00395703"/>
    <w:rsid w:val="00397408"/>
    <w:rsid w:val="003974E9"/>
    <w:rsid w:val="003A0CBF"/>
    <w:rsid w:val="003A0E37"/>
    <w:rsid w:val="003A18E3"/>
    <w:rsid w:val="003A1E67"/>
    <w:rsid w:val="003A2D21"/>
    <w:rsid w:val="003A5788"/>
    <w:rsid w:val="003A5D2B"/>
    <w:rsid w:val="003A6B04"/>
    <w:rsid w:val="003B0700"/>
    <w:rsid w:val="003B1250"/>
    <w:rsid w:val="003B1BAC"/>
    <w:rsid w:val="003B25D8"/>
    <w:rsid w:val="003B51C7"/>
    <w:rsid w:val="003B5D3B"/>
    <w:rsid w:val="003B62C7"/>
    <w:rsid w:val="003C0BE7"/>
    <w:rsid w:val="003C2EC0"/>
    <w:rsid w:val="003C379A"/>
    <w:rsid w:val="003C37CC"/>
    <w:rsid w:val="003C5A5E"/>
    <w:rsid w:val="003D0EC1"/>
    <w:rsid w:val="003D1098"/>
    <w:rsid w:val="003D1D1C"/>
    <w:rsid w:val="003D2948"/>
    <w:rsid w:val="003D34B0"/>
    <w:rsid w:val="003D3D5F"/>
    <w:rsid w:val="003D4840"/>
    <w:rsid w:val="003D49A1"/>
    <w:rsid w:val="003D4BEF"/>
    <w:rsid w:val="003D5440"/>
    <w:rsid w:val="003D7EAD"/>
    <w:rsid w:val="003E0350"/>
    <w:rsid w:val="003E0E0C"/>
    <w:rsid w:val="003E232A"/>
    <w:rsid w:val="003E2616"/>
    <w:rsid w:val="003E2B31"/>
    <w:rsid w:val="003E326A"/>
    <w:rsid w:val="003E433A"/>
    <w:rsid w:val="003E49C2"/>
    <w:rsid w:val="003E55B5"/>
    <w:rsid w:val="003E581A"/>
    <w:rsid w:val="003E6605"/>
    <w:rsid w:val="003E7255"/>
    <w:rsid w:val="003F020E"/>
    <w:rsid w:val="003F0550"/>
    <w:rsid w:val="003F11CE"/>
    <w:rsid w:val="003F321B"/>
    <w:rsid w:val="003F4464"/>
    <w:rsid w:val="003F6977"/>
    <w:rsid w:val="003F6CE6"/>
    <w:rsid w:val="00400E2B"/>
    <w:rsid w:val="00401B09"/>
    <w:rsid w:val="0040250F"/>
    <w:rsid w:val="00402E1D"/>
    <w:rsid w:val="0040616A"/>
    <w:rsid w:val="004067B5"/>
    <w:rsid w:val="004105FE"/>
    <w:rsid w:val="00411312"/>
    <w:rsid w:val="004137BB"/>
    <w:rsid w:val="00415C25"/>
    <w:rsid w:val="00416843"/>
    <w:rsid w:val="00416DDD"/>
    <w:rsid w:val="00420E18"/>
    <w:rsid w:val="004213AF"/>
    <w:rsid w:val="00421B81"/>
    <w:rsid w:val="0042274C"/>
    <w:rsid w:val="00423285"/>
    <w:rsid w:val="004236E1"/>
    <w:rsid w:val="00425D36"/>
    <w:rsid w:val="00426315"/>
    <w:rsid w:val="004266C2"/>
    <w:rsid w:val="004266D2"/>
    <w:rsid w:val="00427514"/>
    <w:rsid w:val="00427D9C"/>
    <w:rsid w:val="004302DB"/>
    <w:rsid w:val="00430709"/>
    <w:rsid w:val="004314EE"/>
    <w:rsid w:val="00431C59"/>
    <w:rsid w:val="00431F76"/>
    <w:rsid w:val="00434714"/>
    <w:rsid w:val="00434CCB"/>
    <w:rsid w:val="00435855"/>
    <w:rsid w:val="004374C1"/>
    <w:rsid w:val="00440586"/>
    <w:rsid w:val="00441DE3"/>
    <w:rsid w:val="00443019"/>
    <w:rsid w:val="004431F0"/>
    <w:rsid w:val="004455B4"/>
    <w:rsid w:val="00445E93"/>
    <w:rsid w:val="004512FB"/>
    <w:rsid w:val="004558E8"/>
    <w:rsid w:val="004579F7"/>
    <w:rsid w:val="00460F01"/>
    <w:rsid w:val="004624DB"/>
    <w:rsid w:val="00462F49"/>
    <w:rsid w:val="004644F4"/>
    <w:rsid w:val="00466BDC"/>
    <w:rsid w:val="00466CDA"/>
    <w:rsid w:val="0047069C"/>
    <w:rsid w:val="0047319D"/>
    <w:rsid w:val="00473A08"/>
    <w:rsid w:val="00474E90"/>
    <w:rsid w:val="0047597C"/>
    <w:rsid w:val="00476E1B"/>
    <w:rsid w:val="00476FD8"/>
    <w:rsid w:val="00477651"/>
    <w:rsid w:val="00477A33"/>
    <w:rsid w:val="00481921"/>
    <w:rsid w:val="00481A73"/>
    <w:rsid w:val="00482C4F"/>
    <w:rsid w:val="00483670"/>
    <w:rsid w:val="00483B4B"/>
    <w:rsid w:val="0048490B"/>
    <w:rsid w:val="004851F1"/>
    <w:rsid w:val="004856BD"/>
    <w:rsid w:val="004858DA"/>
    <w:rsid w:val="00486A64"/>
    <w:rsid w:val="00487872"/>
    <w:rsid w:val="004878C8"/>
    <w:rsid w:val="0049087A"/>
    <w:rsid w:val="00492152"/>
    <w:rsid w:val="004927B8"/>
    <w:rsid w:val="00493A60"/>
    <w:rsid w:val="0049406F"/>
    <w:rsid w:val="0049598A"/>
    <w:rsid w:val="00496F0A"/>
    <w:rsid w:val="00497019"/>
    <w:rsid w:val="00497232"/>
    <w:rsid w:val="004A0001"/>
    <w:rsid w:val="004A065C"/>
    <w:rsid w:val="004A29AC"/>
    <w:rsid w:val="004A2D40"/>
    <w:rsid w:val="004A3249"/>
    <w:rsid w:val="004A40B6"/>
    <w:rsid w:val="004A445A"/>
    <w:rsid w:val="004A4A69"/>
    <w:rsid w:val="004A60E8"/>
    <w:rsid w:val="004A6E7D"/>
    <w:rsid w:val="004B2318"/>
    <w:rsid w:val="004B395B"/>
    <w:rsid w:val="004B65DB"/>
    <w:rsid w:val="004C1BBC"/>
    <w:rsid w:val="004C1DE1"/>
    <w:rsid w:val="004C38A2"/>
    <w:rsid w:val="004C3B5B"/>
    <w:rsid w:val="004C545F"/>
    <w:rsid w:val="004C60FE"/>
    <w:rsid w:val="004C6E76"/>
    <w:rsid w:val="004C6F31"/>
    <w:rsid w:val="004C73CA"/>
    <w:rsid w:val="004D003D"/>
    <w:rsid w:val="004D0B98"/>
    <w:rsid w:val="004D215D"/>
    <w:rsid w:val="004D222D"/>
    <w:rsid w:val="004D3FCB"/>
    <w:rsid w:val="004D45EF"/>
    <w:rsid w:val="004D4E58"/>
    <w:rsid w:val="004D52B3"/>
    <w:rsid w:val="004D58C5"/>
    <w:rsid w:val="004D6403"/>
    <w:rsid w:val="004D6AE1"/>
    <w:rsid w:val="004D6AEC"/>
    <w:rsid w:val="004D7303"/>
    <w:rsid w:val="004E0000"/>
    <w:rsid w:val="004E11B0"/>
    <w:rsid w:val="004E31B2"/>
    <w:rsid w:val="004E395C"/>
    <w:rsid w:val="004E481C"/>
    <w:rsid w:val="004E5FF4"/>
    <w:rsid w:val="004E7164"/>
    <w:rsid w:val="004F01DA"/>
    <w:rsid w:val="004F0928"/>
    <w:rsid w:val="004F2275"/>
    <w:rsid w:val="004F2277"/>
    <w:rsid w:val="00500D0C"/>
    <w:rsid w:val="0050130C"/>
    <w:rsid w:val="005015A4"/>
    <w:rsid w:val="0050349A"/>
    <w:rsid w:val="00503F86"/>
    <w:rsid w:val="00504308"/>
    <w:rsid w:val="00504DD7"/>
    <w:rsid w:val="00505448"/>
    <w:rsid w:val="0050724D"/>
    <w:rsid w:val="00507320"/>
    <w:rsid w:val="00507A51"/>
    <w:rsid w:val="005100F7"/>
    <w:rsid w:val="00510A02"/>
    <w:rsid w:val="00510AC5"/>
    <w:rsid w:val="00514E33"/>
    <w:rsid w:val="0051523F"/>
    <w:rsid w:val="005167CF"/>
    <w:rsid w:val="00517E8D"/>
    <w:rsid w:val="005224D3"/>
    <w:rsid w:val="005238C6"/>
    <w:rsid w:val="00524782"/>
    <w:rsid w:val="00525172"/>
    <w:rsid w:val="00525ECC"/>
    <w:rsid w:val="00527048"/>
    <w:rsid w:val="00527C11"/>
    <w:rsid w:val="0053153B"/>
    <w:rsid w:val="005334F6"/>
    <w:rsid w:val="005339AF"/>
    <w:rsid w:val="00533E2E"/>
    <w:rsid w:val="00534041"/>
    <w:rsid w:val="00534928"/>
    <w:rsid w:val="005355ED"/>
    <w:rsid w:val="00536BCC"/>
    <w:rsid w:val="00536DDA"/>
    <w:rsid w:val="00537084"/>
    <w:rsid w:val="005374F2"/>
    <w:rsid w:val="00537C58"/>
    <w:rsid w:val="005419EF"/>
    <w:rsid w:val="00542DE2"/>
    <w:rsid w:val="00543199"/>
    <w:rsid w:val="00544F97"/>
    <w:rsid w:val="00546F9F"/>
    <w:rsid w:val="005473FC"/>
    <w:rsid w:val="005507D1"/>
    <w:rsid w:val="0055234A"/>
    <w:rsid w:val="005550AB"/>
    <w:rsid w:val="0056022D"/>
    <w:rsid w:val="00561417"/>
    <w:rsid w:val="005616BD"/>
    <w:rsid w:val="005625C9"/>
    <w:rsid w:val="005626CE"/>
    <w:rsid w:val="00565F7A"/>
    <w:rsid w:val="005663D6"/>
    <w:rsid w:val="00566EB3"/>
    <w:rsid w:val="00567C08"/>
    <w:rsid w:val="00567DD8"/>
    <w:rsid w:val="00567E8A"/>
    <w:rsid w:val="00570126"/>
    <w:rsid w:val="00572280"/>
    <w:rsid w:val="005723BE"/>
    <w:rsid w:val="005728AC"/>
    <w:rsid w:val="00574CD1"/>
    <w:rsid w:val="00576945"/>
    <w:rsid w:val="005777B4"/>
    <w:rsid w:val="0058017D"/>
    <w:rsid w:val="00580687"/>
    <w:rsid w:val="00580993"/>
    <w:rsid w:val="00581424"/>
    <w:rsid w:val="00581973"/>
    <w:rsid w:val="00582429"/>
    <w:rsid w:val="00582980"/>
    <w:rsid w:val="005829F5"/>
    <w:rsid w:val="00582B0F"/>
    <w:rsid w:val="00583500"/>
    <w:rsid w:val="005845F0"/>
    <w:rsid w:val="005848A6"/>
    <w:rsid w:val="00584E2B"/>
    <w:rsid w:val="00584EE5"/>
    <w:rsid w:val="005853DF"/>
    <w:rsid w:val="00585466"/>
    <w:rsid w:val="005868B7"/>
    <w:rsid w:val="00586C9C"/>
    <w:rsid w:val="00587171"/>
    <w:rsid w:val="0059025C"/>
    <w:rsid w:val="0059124E"/>
    <w:rsid w:val="00593B97"/>
    <w:rsid w:val="005941E5"/>
    <w:rsid w:val="00594EFE"/>
    <w:rsid w:val="00595E70"/>
    <w:rsid w:val="00596134"/>
    <w:rsid w:val="005963D9"/>
    <w:rsid w:val="00597E7A"/>
    <w:rsid w:val="005A2223"/>
    <w:rsid w:val="005A3965"/>
    <w:rsid w:val="005A3AFD"/>
    <w:rsid w:val="005A57C0"/>
    <w:rsid w:val="005A68A3"/>
    <w:rsid w:val="005A696A"/>
    <w:rsid w:val="005A78EE"/>
    <w:rsid w:val="005B01DA"/>
    <w:rsid w:val="005B0620"/>
    <w:rsid w:val="005B078E"/>
    <w:rsid w:val="005B274F"/>
    <w:rsid w:val="005B291A"/>
    <w:rsid w:val="005B3717"/>
    <w:rsid w:val="005B3B34"/>
    <w:rsid w:val="005B5D70"/>
    <w:rsid w:val="005B6FFE"/>
    <w:rsid w:val="005B7B19"/>
    <w:rsid w:val="005C03E4"/>
    <w:rsid w:val="005C08BC"/>
    <w:rsid w:val="005C2C6A"/>
    <w:rsid w:val="005C5463"/>
    <w:rsid w:val="005C54CF"/>
    <w:rsid w:val="005C6EA1"/>
    <w:rsid w:val="005D021B"/>
    <w:rsid w:val="005D1536"/>
    <w:rsid w:val="005D1B67"/>
    <w:rsid w:val="005D1E22"/>
    <w:rsid w:val="005D441A"/>
    <w:rsid w:val="005D4D33"/>
    <w:rsid w:val="005D5838"/>
    <w:rsid w:val="005D6718"/>
    <w:rsid w:val="005D6B03"/>
    <w:rsid w:val="005D6E68"/>
    <w:rsid w:val="005D7CD2"/>
    <w:rsid w:val="005D7F96"/>
    <w:rsid w:val="005E0704"/>
    <w:rsid w:val="005E09B4"/>
    <w:rsid w:val="005E1C23"/>
    <w:rsid w:val="005E1F9E"/>
    <w:rsid w:val="005E39EC"/>
    <w:rsid w:val="005E4816"/>
    <w:rsid w:val="005E4982"/>
    <w:rsid w:val="005E49FB"/>
    <w:rsid w:val="005E4FFA"/>
    <w:rsid w:val="005E58EE"/>
    <w:rsid w:val="005E5C18"/>
    <w:rsid w:val="005E7826"/>
    <w:rsid w:val="005F0A68"/>
    <w:rsid w:val="005F0D9C"/>
    <w:rsid w:val="005F24E8"/>
    <w:rsid w:val="005F2A1F"/>
    <w:rsid w:val="005F3301"/>
    <w:rsid w:val="005F35CD"/>
    <w:rsid w:val="005F3C38"/>
    <w:rsid w:val="005F3C8E"/>
    <w:rsid w:val="005F4B44"/>
    <w:rsid w:val="005F5E7B"/>
    <w:rsid w:val="005F745E"/>
    <w:rsid w:val="00600EBE"/>
    <w:rsid w:val="00601313"/>
    <w:rsid w:val="00601721"/>
    <w:rsid w:val="00601C2F"/>
    <w:rsid w:val="006035BD"/>
    <w:rsid w:val="00603C80"/>
    <w:rsid w:val="00603CF8"/>
    <w:rsid w:val="00604C63"/>
    <w:rsid w:val="00607CFC"/>
    <w:rsid w:val="006108C0"/>
    <w:rsid w:val="00610C58"/>
    <w:rsid w:val="006135BB"/>
    <w:rsid w:val="00613A50"/>
    <w:rsid w:val="00614BAE"/>
    <w:rsid w:val="00616A92"/>
    <w:rsid w:val="00621BED"/>
    <w:rsid w:val="006228D2"/>
    <w:rsid w:val="00623032"/>
    <w:rsid w:val="00624047"/>
    <w:rsid w:val="00624300"/>
    <w:rsid w:val="0062442A"/>
    <w:rsid w:val="006247DF"/>
    <w:rsid w:val="00630219"/>
    <w:rsid w:val="00632F01"/>
    <w:rsid w:val="006337C3"/>
    <w:rsid w:val="00634675"/>
    <w:rsid w:val="00634DB6"/>
    <w:rsid w:val="006360EA"/>
    <w:rsid w:val="00641FF3"/>
    <w:rsid w:val="00643C41"/>
    <w:rsid w:val="00646255"/>
    <w:rsid w:val="006509BC"/>
    <w:rsid w:val="00651431"/>
    <w:rsid w:val="00651703"/>
    <w:rsid w:val="00652DC5"/>
    <w:rsid w:val="0065392F"/>
    <w:rsid w:val="00654127"/>
    <w:rsid w:val="00654A48"/>
    <w:rsid w:val="0065543E"/>
    <w:rsid w:val="00656728"/>
    <w:rsid w:val="00657312"/>
    <w:rsid w:val="00660632"/>
    <w:rsid w:val="006658E0"/>
    <w:rsid w:val="0066630A"/>
    <w:rsid w:val="00667920"/>
    <w:rsid w:val="00670897"/>
    <w:rsid w:val="006715A6"/>
    <w:rsid w:val="006721FB"/>
    <w:rsid w:val="0067294F"/>
    <w:rsid w:val="00673110"/>
    <w:rsid w:val="00673EF2"/>
    <w:rsid w:val="00674021"/>
    <w:rsid w:val="006742DA"/>
    <w:rsid w:val="00674590"/>
    <w:rsid w:val="006775D7"/>
    <w:rsid w:val="006805A6"/>
    <w:rsid w:val="00680695"/>
    <w:rsid w:val="00680D4C"/>
    <w:rsid w:val="00680FFA"/>
    <w:rsid w:val="00681A8D"/>
    <w:rsid w:val="0068297B"/>
    <w:rsid w:val="0068458A"/>
    <w:rsid w:val="0068600A"/>
    <w:rsid w:val="00686513"/>
    <w:rsid w:val="00687D42"/>
    <w:rsid w:val="006938AF"/>
    <w:rsid w:val="00694BE0"/>
    <w:rsid w:val="00695479"/>
    <w:rsid w:val="006974E8"/>
    <w:rsid w:val="00697A41"/>
    <w:rsid w:val="006A02CE"/>
    <w:rsid w:val="006A28D7"/>
    <w:rsid w:val="006A352B"/>
    <w:rsid w:val="006A561F"/>
    <w:rsid w:val="006A61FD"/>
    <w:rsid w:val="006A625B"/>
    <w:rsid w:val="006A62D7"/>
    <w:rsid w:val="006A692C"/>
    <w:rsid w:val="006B0DA1"/>
    <w:rsid w:val="006B0FC6"/>
    <w:rsid w:val="006B1E94"/>
    <w:rsid w:val="006B226D"/>
    <w:rsid w:val="006B38BE"/>
    <w:rsid w:val="006B433B"/>
    <w:rsid w:val="006B60DF"/>
    <w:rsid w:val="006B67AF"/>
    <w:rsid w:val="006B75FF"/>
    <w:rsid w:val="006C1346"/>
    <w:rsid w:val="006C1ACF"/>
    <w:rsid w:val="006C1B47"/>
    <w:rsid w:val="006C244A"/>
    <w:rsid w:val="006C25D4"/>
    <w:rsid w:val="006C7138"/>
    <w:rsid w:val="006C760F"/>
    <w:rsid w:val="006D0941"/>
    <w:rsid w:val="006D25E6"/>
    <w:rsid w:val="006D2CAD"/>
    <w:rsid w:val="006D375E"/>
    <w:rsid w:val="006D4711"/>
    <w:rsid w:val="006D51F4"/>
    <w:rsid w:val="006D53C2"/>
    <w:rsid w:val="006D73DD"/>
    <w:rsid w:val="006D7894"/>
    <w:rsid w:val="006E0830"/>
    <w:rsid w:val="006E23A8"/>
    <w:rsid w:val="006E2F34"/>
    <w:rsid w:val="006E4ED8"/>
    <w:rsid w:val="006E6071"/>
    <w:rsid w:val="006E64CC"/>
    <w:rsid w:val="006E652A"/>
    <w:rsid w:val="006E6955"/>
    <w:rsid w:val="006E72A5"/>
    <w:rsid w:val="006F0E2E"/>
    <w:rsid w:val="006F17EF"/>
    <w:rsid w:val="006F28D0"/>
    <w:rsid w:val="006F4583"/>
    <w:rsid w:val="006F54B6"/>
    <w:rsid w:val="006F6407"/>
    <w:rsid w:val="006F6BA7"/>
    <w:rsid w:val="006F73C3"/>
    <w:rsid w:val="006F73DA"/>
    <w:rsid w:val="00700296"/>
    <w:rsid w:val="0070035A"/>
    <w:rsid w:val="007030EE"/>
    <w:rsid w:val="00703155"/>
    <w:rsid w:val="00704253"/>
    <w:rsid w:val="00704334"/>
    <w:rsid w:val="00704527"/>
    <w:rsid w:val="007062E3"/>
    <w:rsid w:val="00706424"/>
    <w:rsid w:val="007065A5"/>
    <w:rsid w:val="00713246"/>
    <w:rsid w:val="00713A50"/>
    <w:rsid w:val="00713B32"/>
    <w:rsid w:val="007141B7"/>
    <w:rsid w:val="0071537D"/>
    <w:rsid w:val="00716A60"/>
    <w:rsid w:val="007213ED"/>
    <w:rsid w:val="0072171E"/>
    <w:rsid w:val="00721D4D"/>
    <w:rsid w:val="007224F4"/>
    <w:rsid w:val="0072288B"/>
    <w:rsid w:val="00723A89"/>
    <w:rsid w:val="00725054"/>
    <w:rsid w:val="00726B50"/>
    <w:rsid w:val="007304B3"/>
    <w:rsid w:val="007309DD"/>
    <w:rsid w:val="007329CB"/>
    <w:rsid w:val="007332A6"/>
    <w:rsid w:val="0073463B"/>
    <w:rsid w:val="00734C34"/>
    <w:rsid w:val="007359E1"/>
    <w:rsid w:val="00736967"/>
    <w:rsid w:val="00737556"/>
    <w:rsid w:val="0074217C"/>
    <w:rsid w:val="0074638C"/>
    <w:rsid w:val="00747775"/>
    <w:rsid w:val="00751984"/>
    <w:rsid w:val="007519DF"/>
    <w:rsid w:val="007520BD"/>
    <w:rsid w:val="00752243"/>
    <w:rsid w:val="007522D5"/>
    <w:rsid w:val="00752684"/>
    <w:rsid w:val="0075268C"/>
    <w:rsid w:val="0075521E"/>
    <w:rsid w:val="0075530B"/>
    <w:rsid w:val="00757F29"/>
    <w:rsid w:val="00760C7E"/>
    <w:rsid w:val="00764937"/>
    <w:rsid w:val="00764DC8"/>
    <w:rsid w:val="00765221"/>
    <w:rsid w:val="0076545A"/>
    <w:rsid w:val="00765DD9"/>
    <w:rsid w:val="007702B6"/>
    <w:rsid w:val="00771933"/>
    <w:rsid w:val="00771A45"/>
    <w:rsid w:val="00772667"/>
    <w:rsid w:val="00774FA9"/>
    <w:rsid w:val="00775907"/>
    <w:rsid w:val="00775976"/>
    <w:rsid w:val="00775B1B"/>
    <w:rsid w:val="00776FC9"/>
    <w:rsid w:val="007773DD"/>
    <w:rsid w:val="00777F4D"/>
    <w:rsid w:val="00781C4F"/>
    <w:rsid w:val="00785763"/>
    <w:rsid w:val="00785E1F"/>
    <w:rsid w:val="00786126"/>
    <w:rsid w:val="00786D6D"/>
    <w:rsid w:val="00787B53"/>
    <w:rsid w:val="00787E2C"/>
    <w:rsid w:val="00790893"/>
    <w:rsid w:val="00790F97"/>
    <w:rsid w:val="00792391"/>
    <w:rsid w:val="007931CD"/>
    <w:rsid w:val="00793460"/>
    <w:rsid w:val="007941FE"/>
    <w:rsid w:val="0079439B"/>
    <w:rsid w:val="007952A4"/>
    <w:rsid w:val="00797047"/>
    <w:rsid w:val="007972C3"/>
    <w:rsid w:val="007A077A"/>
    <w:rsid w:val="007A08E2"/>
    <w:rsid w:val="007A269F"/>
    <w:rsid w:val="007A76DF"/>
    <w:rsid w:val="007B03B3"/>
    <w:rsid w:val="007B1264"/>
    <w:rsid w:val="007B19D3"/>
    <w:rsid w:val="007B51A7"/>
    <w:rsid w:val="007B538E"/>
    <w:rsid w:val="007B538F"/>
    <w:rsid w:val="007B5A50"/>
    <w:rsid w:val="007B5BE0"/>
    <w:rsid w:val="007B5D14"/>
    <w:rsid w:val="007B6368"/>
    <w:rsid w:val="007B74C6"/>
    <w:rsid w:val="007C0898"/>
    <w:rsid w:val="007C1C0B"/>
    <w:rsid w:val="007C2295"/>
    <w:rsid w:val="007C2C52"/>
    <w:rsid w:val="007C6A0E"/>
    <w:rsid w:val="007C6A93"/>
    <w:rsid w:val="007D1904"/>
    <w:rsid w:val="007D1F45"/>
    <w:rsid w:val="007D1F6E"/>
    <w:rsid w:val="007D2794"/>
    <w:rsid w:val="007D3AEB"/>
    <w:rsid w:val="007D513D"/>
    <w:rsid w:val="007D5D72"/>
    <w:rsid w:val="007D66F1"/>
    <w:rsid w:val="007E0503"/>
    <w:rsid w:val="007E0C44"/>
    <w:rsid w:val="007E138B"/>
    <w:rsid w:val="007E18EE"/>
    <w:rsid w:val="007E3D87"/>
    <w:rsid w:val="007E4290"/>
    <w:rsid w:val="007F0B61"/>
    <w:rsid w:val="007F2E18"/>
    <w:rsid w:val="007F3214"/>
    <w:rsid w:val="007F3468"/>
    <w:rsid w:val="007F36E7"/>
    <w:rsid w:val="007F4804"/>
    <w:rsid w:val="007F53E6"/>
    <w:rsid w:val="007F6857"/>
    <w:rsid w:val="007F7B97"/>
    <w:rsid w:val="00801691"/>
    <w:rsid w:val="00802CB8"/>
    <w:rsid w:val="008043ED"/>
    <w:rsid w:val="00805AEA"/>
    <w:rsid w:val="00805BCF"/>
    <w:rsid w:val="0080617E"/>
    <w:rsid w:val="0081160A"/>
    <w:rsid w:val="00811787"/>
    <w:rsid w:val="00811CB7"/>
    <w:rsid w:val="008121AC"/>
    <w:rsid w:val="00812621"/>
    <w:rsid w:val="00813004"/>
    <w:rsid w:val="0081337C"/>
    <w:rsid w:val="00817850"/>
    <w:rsid w:val="00822EDF"/>
    <w:rsid w:val="008247A7"/>
    <w:rsid w:val="00824B94"/>
    <w:rsid w:val="008324C3"/>
    <w:rsid w:val="00832730"/>
    <w:rsid w:val="008330E0"/>
    <w:rsid w:val="00833862"/>
    <w:rsid w:val="00834225"/>
    <w:rsid w:val="00834321"/>
    <w:rsid w:val="00836FE1"/>
    <w:rsid w:val="0083713B"/>
    <w:rsid w:val="00837B07"/>
    <w:rsid w:val="00840161"/>
    <w:rsid w:val="0084071F"/>
    <w:rsid w:val="00841367"/>
    <w:rsid w:val="0084196E"/>
    <w:rsid w:val="00841AE6"/>
    <w:rsid w:val="00842392"/>
    <w:rsid w:val="00842A5B"/>
    <w:rsid w:val="0084326A"/>
    <w:rsid w:val="00843AD8"/>
    <w:rsid w:val="0084598C"/>
    <w:rsid w:val="00846E3D"/>
    <w:rsid w:val="0085057B"/>
    <w:rsid w:val="00852821"/>
    <w:rsid w:val="00852D86"/>
    <w:rsid w:val="00852DA7"/>
    <w:rsid w:val="00854747"/>
    <w:rsid w:val="00854CBD"/>
    <w:rsid w:val="008554FA"/>
    <w:rsid w:val="00855FB9"/>
    <w:rsid w:val="00860F16"/>
    <w:rsid w:val="00861718"/>
    <w:rsid w:val="00861ACC"/>
    <w:rsid w:val="00862D6F"/>
    <w:rsid w:val="00863BC9"/>
    <w:rsid w:val="00867757"/>
    <w:rsid w:val="00871EF8"/>
    <w:rsid w:val="008727DF"/>
    <w:rsid w:val="00872D36"/>
    <w:rsid w:val="0087304C"/>
    <w:rsid w:val="0087619D"/>
    <w:rsid w:val="008775F6"/>
    <w:rsid w:val="00877FA0"/>
    <w:rsid w:val="0088043E"/>
    <w:rsid w:val="0088135A"/>
    <w:rsid w:val="00882002"/>
    <w:rsid w:val="00883613"/>
    <w:rsid w:val="00883F06"/>
    <w:rsid w:val="00885A25"/>
    <w:rsid w:val="008862CC"/>
    <w:rsid w:val="0088770B"/>
    <w:rsid w:val="0088791A"/>
    <w:rsid w:val="00891186"/>
    <w:rsid w:val="00891871"/>
    <w:rsid w:val="008918DB"/>
    <w:rsid w:val="00891DB9"/>
    <w:rsid w:val="008926B6"/>
    <w:rsid w:val="00895AAF"/>
    <w:rsid w:val="00895BDD"/>
    <w:rsid w:val="008979B5"/>
    <w:rsid w:val="00897EB2"/>
    <w:rsid w:val="008A0123"/>
    <w:rsid w:val="008A03D5"/>
    <w:rsid w:val="008A1907"/>
    <w:rsid w:val="008A19C8"/>
    <w:rsid w:val="008A1A9A"/>
    <w:rsid w:val="008A2BF0"/>
    <w:rsid w:val="008A3FF3"/>
    <w:rsid w:val="008A418E"/>
    <w:rsid w:val="008A6EF0"/>
    <w:rsid w:val="008B00FA"/>
    <w:rsid w:val="008B0C2B"/>
    <w:rsid w:val="008B1ACB"/>
    <w:rsid w:val="008B1E60"/>
    <w:rsid w:val="008B2E62"/>
    <w:rsid w:val="008B3427"/>
    <w:rsid w:val="008B40E6"/>
    <w:rsid w:val="008B6197"/>
    <w:rsid w:val="008B6FBF"/>
    <w:rsid w:val="008C0628"/>
    <w:rsid w:val="008C373D"/>
    <w:rsid w:val="008C3856"/>
    <w:rsid w:val="008C488C"/>
    <w:rsid w:val="008C6E59"/>
    <w:rsid w:val="008D109E"/>
    <w:rsid w:val="008D1696"/>
    <w:rsid w:val="008D2E13"/>
    <w:rsid w:val="008D4013"/>
    <w:rsid w:val="008D47CF"/>
    <w:rsid w:val="008E1523"/>
    <w:rsid w:val="008E1752"/>
    <w:rsid w:val="008E1925"/>
    <w:rsid w:val="008E3241"/>
    <w:rsid w:val="008E3AA4"/>
    <w:rsid w:val="008E48A9"/>
    <w:rsid w:val="008E4915"/>
    <w:rsid w:val="008E5794"/>
    <w:rsid w:val="008E6130"/>
    <w:rsid w:val="008E6CED"/>
    <w:rsid w:val="008E6FFD"/>
    <w:rsid w:val="008E76ED"/>
    <w:rsid w:val="008F130F"/>
    <w:rsid w:val="008F1F62"/>
    <w:rsid w:val="008F2C68"/>
    <w:rsid w:val="008F4797"/>
    <w:rsid w:val="008F5C33"/>
    <w:rsid w:val="008F64E8"/>
    <w:rsid w:val="008F71FC"/>
    <w:rsid w:val="008F772B"/>
    <w:rsid w:val="008F7ACC"/>
    <w:rsid w:val="008F7D17"/>
    <w:rsid w:val="00901383"/>
    <w:rsid w:val="00902460"/>
    <w:rsid w:val="00902D24"/>
    <w:rsid w:val="00902E2C"/>
    <w:rsid w:val="009031BF"/>
    <w:rsid w:val="0090430A"/>
    <w:rsid w:val="00907BE4"/>
    <w:rsid w:val="0091110C"/>
    <w:rsid w:val="00912B63"/>
    <w:rsid w:val="00913759"/>
    <w:rsid w:val="00913F94"/>
    <w:rsid w:val="0091415B"/>
    <w:rsid w:val="0091526C"/>
    <w:rsid w:val="009153DB"/>
    <w:rsid w:val="00915CA9"/>
    <w:rsid w:val="00917B60"/>
    <w:rsid w:val="00917BD7"/>
    <w:rsid w:val="009208EE"/>
    <w:rsid w:val="00921A51"/>
    <w:rsid w:val="00922709"/>
    <w:rsid w:val="00923045"/>
    <w:rsid w:val="0092356A"/>
    <w:rsid w:val="00924119"/>
    <w:rsid w:val="00924130"/>
    <w:rsid w:val="00926438"/>
    <w:rsid w:val="009266D3"/>
    <w:rsid w:val="00926FDD"/>
    <w:rsid w:val="00927BFB"/>
    <w:rsid w:val="00927EC0"/>
    <w:rsid w:val="009318EA"/>
    <w:rsid w:val="0093434A"/>
    <w:rsid w:val="0093497C"/>
    <w:rsid w:val="00935931"/>
    <w:rsid w:val="00936347"/>
    <w:rsid w:val="00936B34"/>
    <w:rsid w:val="00940F5B"/>
    <w:rsid w:val="0094130D"/>
    <w:rsid w:val="00943C37"/>
    <w:rsid w:val="00943D94"/>
    <w:rsid w:val="00944936"/>
    <w:rsid w:val="00947AA7"/>
    <w:rsid w:val="00950EE4"/>
    <w:rsid w:val="0095147C"/>
    <w:rsid w:val="009522C8"/>
    <w:rsid w:val="0095517E"/>
    <w:rsid w:val="00955784"/>
    <w:rsid w:val="00955C3C"/>
    <w:rsid w:val="00956195"/>
    <w:rsid w:val="00960EF9"/>
    <w:rsid w:val="009624AA"/>
    <w:rsid w:val="00962BC8"/>
    <w:rsid w:val="009638CA"/>
    <w:rsid w:val="00963D89"/>
    <w:rsid w:val="00964630"/>
    <w:rsid w:val="00965638"/>
    <w:rsid w:val="00965D7D"/>
    <w:rsid w:val="00966713"/>
    <w:rsid w:val="00967401"/>
    <w:rsid w:val="00967FD9"/>
    <w:rsid w:val="00972683"/>
    <w:rsid w:val="0097713D"/>
    <w:rsid w:val="0098205F"/>
    <w:rsid w:val="00984651"/>
    <w:rsid w:val="00984D95"/>
    <w:rsid w:val="009851DF"/>
    <w:rsid w:val="0099103B"/>
    <w:rsid w:val="00991709"/>
    <w:rsid w:val="00992143"/>
    <w:rsid w:val="009923C5"/>
    <w:rsid w:val="00995EAD"/>
    <w:rsid w:val="00996049"/>
    <w:rsid w:val="009A0390"/>
    <w:rsid w:val="009A13B1"/>
    <w:rsid w:val="009A2788"/>
    <w:rsid w:val="009A32A5"/>
    <w:rsid w:val="009A38B5"/>
    <w:rsid w:val="009A4283"/>
    <w:rsid w:val="009A48FE"/>
    <w:rsid w:val="009A4E2D"/>
    <w:rsid w:val="009A5405"/>
    <w:rsid w:val="009A5C35"/>
    <w:rsid w:val="009B1DF7"/>
    <w:rsid w:val="009B2036"/>
    <w:rsid w:val="009B3016"/>
    <w:rsid w:val="009B352D"/>
    <w:rsid w:val="009B43B0"/>
    <w:rsid w:val="009B549A"/>
    <w:rsid w:val="009B5B02"/>
    <w:rsid w:val="009B716D"/>
    <w:rsid w:val="009C036B"/>
    <w:rsid w:val="009C09C2"/>
    <w:rsid w:val="009C24E0"/>
    <w:rsid w:val="009C3AF2"/>
    <w:rsid w:val="009C5074"/>
    <w:rsid w:val="009C5996"/>
    <w:rsid w:val="009C5D03"/>
    <w:rsid w:val="009C753D"/>
    <w:rsid w:val="009D2B77"/>
    <w:rsid w:val="009D2DB9"/>
    <w:rsid w:val="009D4A49"/>
    <w:rsid w:val="009D7DD6"/>
    <w:rsid w:val="009E03B0"/>
    <w:rsid w:val="009E11B3"/>
    <w:rsid w:val="009E3BA2"/>
    <w:rsid w:val="009E5318"/>
    <w:rsid w:val="009E606D"/>
    <w:rsid w:val="009F1082"/>
    <w:rsid w:val="009F166C"/>
    <w:rsid w:val="009F1FD2"/>
    <w:rsid w:val="009F233E"/>
    <w:rsid w:val="009F3295"/>
    <w:rsid w:val="009F5409"/>
    <w:rsid w:val="009F5987"/>
    <w:rsid w:val="00A01822"/>
    <w:rsid w:val="00A02912"/>
    <w:rsid w:val="00A033DA"/>
    <w:rsid w:val="00A03C1D"/>
    <w:rsid w:val="00A048F9"/>
    <w:rsid w:val="00A056A9"/>
    <w:rsid w:val="00A05E93"/>
    <w:rsid w:val="00A0665E"/>
    <w:rsid w:val="00A11875"/>
    <w:rsid w:val="00A11AF3"/>
    <w:rsid w:val="00A11F76"/>
    <w:rsid w:val="00A12C43"/>
    <w:rsid w:val="00A12CCE"/>
    <w:rsid w:val="00A1328D"/>
    <w:rsid w:val="00A138E0"/>
    <w:rsid w:val="00A13DA5"/>
    <w:rsid w:val="00A146D4"/>
    <w:rsid w:val="00A14D6F"/>
    <w:rsid w:val="00A16821"/>
    <w:rsid w:val="00A20EE8"/>
    <w:rsid w:val="00A20F05"/>
    <w:rsid w:val="00A211F1"/>
    <w:rsid w:val="00A2416C"/>
    <w:rsid w:val="00A243F5"/>
    <w:rsid w:val="00A248D8"/>
    <w:rsid w:val="00A25BA0"/>
    <w:rsid w:val="00A27AB8"/>
    <w:rsid w:val="00A304E5"/>
    <w:rsid w:val="00A30EC0"/>
    <w:rsid w:val="00A3305F"/>
    <w:rsid w:val="00A370E9"/>
    <w:rsid w:val="00A40909"/>
    <w:rsid w:val="00A40AE3"/>
    <w:rsid w:val="00A428C2"/>
    <w:rsid w:val="00A43963"/>
    <w:rsid w:val="00A4422D"/>
    <w:rsid w:val="00A46622"/>
    <w:rsid w:val="00A46BAB"/>
    <w:rsid w:val="00A47984"/>
    <w:rsid w:val="00A47C76"/>
    <w:rsid w:val="00A50075"/>
    <w:rsid w:val="00A50133"/>
    <w:rsid w:val="00A50495"/>
    <w:rsid w:val="00A51658"/>
    <w:rsid w:val="00A51744"/>
    <w:rsid w:val="00A52009"/>
    <w:rsid w:val="00A5434B"/>
    <w:rsid w:val="00A54367"/>
    <w:rsid w:val="00A544BB"/>
    <w:rsid w:val="00A55417"/>
    <w:rsid w:val="00A555C4"/>
    <w:rsid w:val="00A56944"/>
    <w:rsid w:val="00A6049F"/>
    <w:rsid w:val="00A606A8"/>
    <w:rsid w:val="00A608A8"/>
    <w:rsid w:val="00A6288E"/>
    <w:rsid w:val="00A62A4E"/>
    <w:rsid w:val="00A6303D"/>
    <w:rsid w:val="00A63322"/>
    <w:rsid w:val="00A63C1F"/>
    <w:rsid w:val="00A63C49"/>
    <w:rsid w:val="00A64158"/>
    <w:rsid w:val="00A64829"/>
    <w:rsid w:val="00A661A0"/>
    <w:rsid w:val="00A679AF"/>
    <w:rsid w:val="00A70395"/>
    <w:rsid w:val="00A719BB"/>
    <w:rsid w:val="00A71C22"/>
    <w:rsid w:val="00A738B6"/>
    <w:rsid w:val="00A7436F"/>
    <w:rsid w:val="00A75585"/>
    <w:rsid w:val="00A758C6"/>
    <w:rsid w:val="00A7657A"/>
    <w:rsid w:val="00A7765C"/>
    <w:rsid w:val="00A77726"/>
    <w:rsid w:val="00A80012"/>
    <w:rsid w:val="00A80473"/>
    <w:rsid w:val="00A821A7"/>
    <w:rsid w:val="00A836E5"/>
    <w:rsid w:val="00A83D5D"/>
    <w:rsid w:val="00A85408"/>
    <w:rsid w:val="00A90CB7"/>
    <w:rsid w:val="00A90FF9"/>
    <w:rsid w:val="00A92583"/>
    <w:rsid w:val="00A93813"/>
    <w:rsid w:val="00A94204"/>
    <w:rsid w:val="00A94B7C"/>
    <w:rsid w:val="00A96F86"/>
    <w:rsid w:val="00AA0351"/>
    <w:rsid w:val="00AA299E"/>
    <w:rsid w:val="00AA4461"/>
    <w:rsid w:val="00AA56B6"/>
    <w:rsid w:val="00AA6B5F"/>
    <w:rsid w:val="00AA6BAD"/>
    <w:rsid w:val="00AB0EAF"/>
    <w:rsid w:val="00AB170E"/>
    <w:rsid w:val="00AB19AE"/>
    <w:rsid w:val="00AB1B14"/>
    <w:rsid w:val="00AB21B4"/>
    <w:rsid w:val="00AB2962"/>
    <w:rsid w:val="00AB2BA0"/>
    <w:rsid w:val="00AB3758"/>
    <w:rsid w:val="00AB4E37"/>
    <w:rsid w:val="00AB4E40"/>
    <w:rsid w:val="00AB4FAC"/>
    <w:rsid w:val="00AB5504"/>
    <w:rsid w:val="00AB5880"/>
    <w:rsid w:val="00AB64A7"/>
    <w:rsid w:val="00AC0026"/>
    <w:rsid w:val="00AC04AB"/>
    <w:rsid w:val="00AC0CD0"/>
    <w:rsid w:val="00AC32D8"/>
    <w:rsid w:val="00AC347F"/>
    <w:rsid w:val="00AC3E66"/>
    <w:rsid w:val="00AC4337"/>
    <w:rsid w:val="00AC4F81"/>
    <w:rsid w:val="00AC6B04"/>
    <w:rsid w:val="00AC6BC2"/>
    <w:rsid w:val="00AD136B"/>
    <w:rsid w:val="00AD1739"/>
    <w:rsid w:val="00AD177F"/>
    <w:rsid w:val="00AD1950"/>
    <w:rsid w:val="00AD19B5"/>
    <w:rsid w:val="00AD19D0"/>
    <w:rsid w:val="00AD20EB"/>
    <w:rsid w:val="00AD3E13"/>
    <w:rsid w:val="00AD4BB1"/>
    <w:rsid w:val="00AD4D45"/>
    <w:rsid w:val="00AD5125"/>
    <w:rsid w:val="00AD646A"/>
    <w:rsid w:val="00AD6AF0"/>
    <w:rsid w:val="00AE0AC6"/>
    <w:rsid w:val="00AE1E7D"/>
    <w:rsid w:val="00AE26D6"/>
    <w:rsid w:val="00AE3EC5"/>
    <w:rsid w:val="00AE6263"/>
    <w:rsid w:val="00AF08A1"/>
    <w:rsid w:val="00AF0B89"/>
    <w:rsid w:val="00AF14AC"/>
    <w:rsid w:val="00AF2021"/>
    <w:rsid w:val="00AF447F"/>
    <w:rsid w:val="00AF4CA4"/>
    <w:rsid w:val="00AF4FFB"/>
    <w:rsid w:val="00AF71C6"/>
    <w:rsid w:val="00AF733B"/>
    <w:rsid w:val="00B00136"/>
    <w:rsid w:val="00B014E3"/>
    <w:rsid w:val="00B02845"/>
    <w:rsid w:val="00B02A26"/>
    <w:rsid w:val="00B035B1"/>
    <w:rsid w:val="00B03856"/>
    <w:rsid w:val="00B03CF1"/>
    <w:rsid w:val="00B04403"/>
    <w:rsid w:val="00B0607D"/>
    <w:rsid w:val="00B060FB"/>
    <w:rsid w:val="00B065AD"/>
    <w:rsid w:val="00B06A01"/>
    <w:rsid w:val="00B102F7"/>
    <w:rsid w:val="00B107B9"/>
    <w:rsid w:val="00B109A7"/>
    <w:rsid w:val="00B12C7E"/>
    <w:rsid w:val="00B12EB5"/>
    <w:rsid w:val="00B13465"/>
    <w:rsid w:val="00B1396D"/>
    <w:rsid w:val="00B13CB1"/>
    <w:rsid w:val="00B13CBF"/>
    <w:rsid w:val="00B149E5"/>
    <w:rsid w:val="00B15BD8"/>
    <w:rsid w:val="00B177D4"/>
    <w:rsid w:val="00B17B7F"/>
    <w:rsid w:val="00B17DAC"/>
    <w:rsid w:val="00B17DEE"/>
    <w:rsid w:val="00B17F39"/>
    <w:rsid w:val="00B24A81"/>
    <w:rsid w:val="00B259C2"/>
    <w:rsid w:val="00B314A6"/>
    <w:rsid w:val="00B314E6"/>
    <w:rsid w:val="00B328F7"/>
    <w:rsid w:val="00B32E4F"/>
    <w:rsid w:val="00B337F9"/>
    <w:rsid w:val="00B33A46"/>
    <w:rsid w:val="00B35B51"/>
    <w:rsid w:val="00B35F4F"/>
    <w:rsid w:val="00B375B0"/>
    <w:rsid w:val="00B37ACD"/>
    <w:rsid w:val="00B37D95"/>
    <w:rsid w:val="00B4047F"/>
    <w:rsid w:val="00B4145B"/>
    <w:rsid w:val="00B42120"/>
    <w:rsid w:val="00B42BDC"/>
    <w:rsid w:val="00B52798"/>
    <w:rsid w:val="00B53B7E"/>
    <w:rsid w:val="00B553F9"/>
    <w:rsid w:val="00B559C6"/>
    <w:rsid w:val="00B56519"/>
    <w:rsid w:val="00B578A6"/>
    <w:rsid w:val="00B605C7"/>
    <w:rsid w:val="00B61478"/>
    <w:rsid w:val="00B62801"/>
    <w:rsid w:val="00B63ECF"/>
    <w:rsid w:val="00B6627C"/>
    <w:rsid w:val="00B666E0"/>
    <w:rsid w:val="00B668B3"/>
    <w:rsid w:val="00B668E4"/>
    <w:rsid w:val="00B67036"/>
    <w:rsid w:val="00B67585"/>
    <w:rsid w:val="00B67E67"/>
    <w:rsid w:val="00B706F0"/>
    <w:rsid w:val="00B7182A"/>
    <w:rsid w:val="00B72423"/>
    <w:rsid w:val="00B743F4"/>
    <w:rsid w:val="00B74577"/>
    <w:rsid w:val="00B7539B"/>
    <w:rsid w:val="00B803DE"/>
    <w:rsid w:val="00B80C95"/>
    <w:rsid w:val="00B819F8"/>
    <w:rsid w:val="00B81BFA"/>
    <w:rsid w:val="00B82C09"/>
    <w:rsid w:val="00B82ECA"/>
    <w:rsid w:val="00B83016"/>
    <w:rsid w:val="00B83896"/>
    <w:rsid w:val="00B85B2E"/>
    <w:rsid w:val="00B8708A"/>
    <w:rsid w:val="00B9009A"/>
    <w:rsid w:val="00B9016F"/>
    <w:rsid w:val="00B90F56"/>
    <w:rsid w:val="00B920DE"/>
    <w:rsid w:val="00B92D6D"/>
    <w:rsid w:val="00B92E9B"/>
    <w:rsid w:val="00B92F54"/>
    <w:rsid w:val="00B940E3"/>
    <w:rsid w:val="00B94B69"/>
    <w:rsid w:val="00B94D80"/>
    <w:rsid w:val="00B9580B"/>
    <w:rsid w:val="00B97816"/>
    <w:rsid w:val="00BA2D79"/>
    <w:rsid w:val="00BA3019"/>
    <w:rsid w:val="00BA3CEB"/>
    <w:rsid w:val="00BA5A06"/>
    <w:rsid w:val="00BA7BDA"/>
    <w:rsid w:val="00BB0E2A"/>
    <w:rsid w:val="00BB2802"/>
    <w:rsid w:val="00BB2DBE"/>
    <w:rsid w:val="00BB32E6"/>
    <w:rsid w:val="00BB34D0"/>
    <w:rsid w:val="00BB3F6C"/>
    <w:rsid w:val="00BB44F3"/>
    <w:rsid w:val="00BB479A"/>
    <w:rsid w:val="00BB5F75"/>
    <w:rsid w:val="00BB6B28"/>
    <w:rsid w:val="00BC06A9"/>
    <w:rsid w:val="00BC17AD"/>
    <w:rsid w:val="00BC25C7"/>
    <w:rsid w:val="00BC358C"/>
    <w:rsid w:val="00BC3C85"/>
    <w:rsid w:val="00BC4C44"/>
    <w:rsid w:val="00BC6207"/>
    <w:rsid w:val="00BC6867"/>
    <w:rsid w:val="00BC6A5F"/>
    <w:rsid w:val="00BC6B5E"/>
    <w:rsid w:val="00BD0796"/>
    <w:rsid w:val="00BD0CB0"/>
    <w:rsid w:val="00BD5C5E"/>
    <w:rsid w:val="00BD5D0B"/>
    <w:rsid w:val="00BD5F39"/>
    <w:rsid w:val="00BD6D86"/>
    <w:rsid w:val="00BD7FD2"/>
    <w:rsid w:val="00BE0403"/>
    <w:rsid w:val="00BE19D3"/>
    <w:rsid w:val="00BE2427"/>
    <w:rsid w:val="00BE2CDC"/>
    <w:rsid w:val="00BE3272"/>
    <w:rsid w:val="00BE3503"/>
    <w:rsid w:val="00BE46B7"/>
    <w:rsid w:val="00BE66A6"/>
    <w:rsid w:val="00BE7806"/>
    <w:rsid w:val="00BE798A"/>
    <w:rsid w:val="00BF05ED"/>
    <w:rsid w:val="00BF217A"/>
    <w:rsid w:val="00BF32C7"/>
    <w:rsid w:val="00BF3623"/>
    <w:rsid w:val="00BF3816"/>
    <w:rsid w:val="00BF6C89"/>
    <w:rsid w:val="00BF751D"/>
    <w:rsid w:val="00C011B9"/>
    <w:rsid w:val="00C019FD"/>
    <w:rsid w:val="00C01E57"/>
    <w:rsid w:val="00C026A2"/>
    <w:rsid w:val="00C04524"/>
    <w:rsid w:val="00C0472A"/>
    <w:rsid w:val="00C10B61"/>
    <w:rsid w:val="00C10EB1"/>
    <w:rsid w:val="00C135F4"/>
    <w:rsid w:val="00C14332"/>
    <w:rsid w:val="00C14BAF"/>
    <w:rsid w:val="00C14DDB"/>
    <w:rsid w:val="00C15FAD"/>
    <w:rsid w:val="00C17B33"/>
    <w:rsid w:val="00C20579"/>
    <w:rsid w:val="00C2494A"/>
    <w:rsid w:val="00C2509B"/>
    <w:rsid w:val="00C31796"/>
    <w:rsid w:val="00C321E8"/>
    <w:rsid w:val="00C329ED"/>
    <w:rsid w:val="00C3355C"/>
    <w:rsid w:val="00C33BC7"/>
    <w:rsid w:val="00C34844"/>
    <w:rsid w:val="00C34BA3"/>
    <w:rsid w:val="00C357EF"/>
    <w:rsid w:val="00C35FED"/>
    <w:rsid w:val="00C36E04"/>
    <w:rsid w:val="00C36F95"/>
    <w:rsid w:val="00C3763E"/>
    <w:rsid w:val="00C4287F"/>
    <w:rsid w:val="00C44A4C"/>
    <w:rsid w:val="00C45FF6"/>
    <w:rsid w:val="00C5008D"/>
    <w:rsid w:val="00C502A1"/>
    <w:rsid w:val="00C56044"/>
    <w:rsid w:val="00C5611A"/>
    <w:rsid w:val="00C56167"/>
    <w:rsid w:val="00C577CF"/>
    <w:rsid w:val="00C578FE"/>
    <w:rsid w:val="00C616C2"/>
    <w:rsid w:val="00C63729"/>
    <w:rsid w:val="00C64C1D"/>
    <w:rsid w:val="00C650C8"/>
    <w:rsid w:val="00C658CE"/>
    <w:rsid w:val="00C65FFB"/>
    <w:rsid w:val="00C6741A"/>
    <w:rsid w:val="00C67C93"/>
    <w:rsid w:val="00C70313"/>
    <w:rsid w:val="00C70D2C"/>
    <w:rsid w:val="00C73852"/>
    <w:rsid w:val="00C73C8C"/>
    <w:rsid w:val="00C75639"/>
    <w:rsid w:val="00C75E0E"/>
    <w:rsid w:val="00C76357"/>
    <w:rsid w:val="00C763F4"/>
    <w:rsid w:val="00C767E4"/>
    <w:rsid w:val="00C77E90"/>
    <w:rsid w:val="00C81623"/>
    <w:rsid w:val="00C81C59"/>
    <w:rsid w:val="00C82C08"/>
    <w:rsid w:val="00C835BC"/>
    <w:rsid w:val="00C83CC3"/>
    <w:rsid w:val="00C84792"/>
    <w:rsid w:val="00C86F36"/>
    <w:rsid w:val="00C900E2"/>
    <w:rsid w:val="00C92341"/>
    <w:rsid w:val="00C93781"/>
    <w:rsid w:val="00C9452A"/>
    <w:rsid w:val="00C96565"/>
    <w:rsid w:val="00C976DC"/>
    <w:rsid w:val="00CA0299"/>
    <w:rsid w:val="00CA16AB"/>
    <w:rsid w:val="00CA46A5"/>
    <w:rsid w:val="00CA48BC"/>
    <w:rsid w:val="00CA4BE3"/>
    <w:rsid w:val="00CA527B"/>
    <w:rsid w:val="00CA6A37"/>
    <w:rsid w:val="00CA713E"/>
    <w:rsid w:val="00CA75F1"/>
    <w:rsid w:val="00CA79C8"/>
    <w:rsid w:val="00CB05B4"/>
    <w:rsid w:val="00CB073F"/>
    <w:rsid w:val="00CB08E5"/>
    <w:rsid w:val="00CB0956"/>
    <w:rsid w:val="00CB152C"/>
    <w:rsid w:val="00CB2579"/>
    <w:rsid w:val="00CB79D6"/>
    <w:rsid w:val="00CC00ED"/>
    <w:rsid w:val="00CC09F4"/>
    <w:rsid w:val="00CC1915"/>
    <w:rsid w:val="00CC3BDE"/>
    <w:rsid w:val="00CC44A2"/>
    <w:rsid w:val="00CC464C"/>
    <w:rsid w:val="00CC5008"/>
    <w:rsid w:val="00CC5F9D"/>
    <w:rsid w:val="00CC6452"/>
    <w:rsid w:val="00CC7D27"/>
    <w:rsid w:val="00CD0007"/>
    <w:rsid w:val="00CD0581"/>
    <w:rsid w:val="00CD12B3"/>
    <w:rsid w:val="00CD23E4"/>
    <w:rsid w:val="00CD2483"/>
    <w:rsid w:val="00CD589F"/>
    <w:rsid w:val="00CD5D93"/>
    <w:rsid w:val="00CD6423"/>
    <w:rsid w:val="00CD6C1D"/>
    <w:rsid w:val="00CD714D"/>
    <w:rsid w:val="00CD7D82"/>
    <w:rsid w:val="00CE159A"/>
    <w:rsid w:val="00CE1C85"/>
    <w:rsid w:val="00CE1D42"/>
    <w:rsid w:val="00CE24AF"/>
    <w:rsid w:val="00CE2A2F"/>
    <w:rsid w:val="00CE3892"/>
    <w:rsid w:val="00CE4092"/>
    <w:rsid w:val="00CE4D2F"/>
    <w:rsid w:val="00CE781A"/>
    <w:rsid w:val="00CF18F6"/>
    <w:rsid w:val="00CF1A11"/>
    <w:rsid w:val="00CF210D"/>
    <w:rsid w:val="00CF211C"/>
    <w:rsid w:val="00CF25EB"/>
    <w:rsid w:val="00CF4A04"/>
    <w:rsid w:val="00CF52A9"/>
    <w:rsid w:val="00CF584C"/>
    <w:rsid w:val="00CF6195"/>
    <w:rsid w:val="00D000E5"/>
    <w:rsid w:val="00D00A86"/>
    <w:rsid w:val="00D00AF9"/>
    <w:rsid w:val="00D019AF"/>
    <w:rsid w:val="00D05977"/>
    <w:rsid w:val="00D0721C"/>
    <w:rsid w:val="00D078BF"/>
    <w:rsid w:val="00D1134C"/>
    <w:rsid w:val="00D113B1"/>
    <w:rsid w:val="00D13120"/>
    <w:rsid w:val="00D13EE7"/>
    <w:rsid w:val="00D14D74"/>
    <w:rsid w:val="00D154AD"/>
    <w:rsid w:val="00D15FC9"/>
    <w:rsid w:val="00D1721C"/>
    <w:rsid w:val="00D176B8"/>
    <w:rsid w:val="00D178E4"/>
    <w:rsid w:val="00D2036B"/>
    <w:rsid w:val="00D214DC"/>
    <w:rsid w:val="00D219A8"/>
    <w:rsid w:val="00D219B4"/>
    <w:rsid w:val="00D21E00"/>
    <w:rsid w:val="00D23DF2"/>
    <w:rsid w:val="00D25AA8"/>
    <w:rsid w:val="00D25D93"/>
    <w:rsid w:val="00D3017B"/>
    <w:rsid w:val="00D30B3F"/>
    <w:rsid w:val="00D3144B"/>
    <w:rsid w:val="00D31EDC"/>
    <w:rsid w:val="00D32B1C"/>
    <w:rsid w:val="00D32CA4"/>
    <w:rsid w:val="00D3306E"/>
    <w:rsid w:val="00D3332E"/>
    <w:rsid w:val="00D33433"/>
    <w:rsid w:val="00D33E0B"/>
    <w:rsid w:val="00D340F4"/>
    <w:rsid w:val="00D36C1C"/>
    <w:rsid w:val="00D40A37"/>
    <w:rsid w:val="00D4395F"/>
    <w:rsid w:val="00D45590"/>
    <w:rsid w:val="00D4652B"/>
    <w:rsid w:val="00D50E45"/>
    <w:rsid w:val="00D5106F"/>
    <w:rsid w:val="00D52A89"/>
    <w:rsid w:val="00D52BA2"/>
    <w:rsid w:val="00D52DC3"/>
    <w:rsid w:val="00D530C9"/>
    <w:rsid w:val="00D5446E"/>
    <w:rsid w:val="00D553B1"/>
    <w:rsid w:val="00D56215"/>
    <w:rsid w:val="00D56912"/>
    <w:rsid w:val="00D5759F"/>
    <w:rsid w:val="00D609AC"/>
    <w:rsid w:val="00D61371"/>
    <w:rsid w:val="00D624A4"/>
    <w:rsid w:val="00D62DC8"/>
    <w:rsid w:val="00D630BB"/>
    <w:rsid w:val="00D6450B"/>
    <w:rsid w:val="00D658DB"/>
    <w:rsid w:val="00D671B5"/>
    <w:rsid w:val="00D672A4"/>
    <w:rsid w:val="00D7175B"/>
    <w:rsid w:val="00D71A5A"/>
    <w:rsid w:val="00D74997"/>
    <w:rsid w:val="00D7525C"/>
    <w:rsid w:val="00D752B7"/>
    <w:rsid w:val="00D754C8"/>
    <w:rsid w:val="00D75DA2"/>
    <w:rsid w:val="00D7637F"/>
    <w:rsid w:val="00D7707B"/>
    <w:rsid w:val="00D77F4B"/>
    <w:rsid w:val="00D77F7F"/>
    <w:rsid w:val="00D80124"/>
    <w:rsid w:val="00D80CD8"/>
    <w:rsid w:val="00D82812"/>
    <w:rsid w:val="00D82C9C"/>
    <w:rsid w:val="00D85B20"/>
    <w:rsid w:val="00D86A8E"/>
    <w:rsid w:val="00D872B0"/>
    <w:rsid w:val="00D87F90"/>
    <w:rsid w:val="00D87FC3"/>
    <w:rsid w:val="00D91114"/>
    <w:rsid w:val="00D93408"/>
    <w:rsid w:val="00D95047"/>
    <w:rsid w:val="00D96063"/>
    <w:rsid w:val="00DA1426"/>
    <w:rsid w:val="00DA23AA"/>
    <w:rsid w:val="00DA42FD"/>
    <w:rsid w:val="00DA5B3E"/>
    <w:rsid w:val="00DA63E7"/>
    <w:rsid w:val="00DA641B"/>
    <w:rsid w:val="00DA7062"/>
    <w:rsid w:val="00DA722B"/>
    <w:rsid w:val="00DA7D65"/>
    <w:rsid w:val="00DB019F"/>
    <w:rsid w:val="00DB305F"/>
    <w:rsid w:val="00DB5182"/>
    <w:rsid w:val="00DB5320"/>
    <w:rsid w:val="00DB5427"/>
    <w:rsid w:val="00DB56C3"/>
    <w:rsid w:val="00DB5D30"/>
    <w:rsid w:val="00DB7206"/>
    <w:rsid w:val="00DC1260"/>
    <w:rsid w:val="00DC5772"/>
    <w:rsid w:val="00DC5A49"/>
    <w:rsid w:val="00DC5CD7"/>
    <w:rsid w:val="00DC645F"/>
    <w:rsid w:val="00DC695A"/>
    <w:rsid w:val="00DC6AD9"/>
    <w:rsid w:val="00DC72D4"/>
    <w:rsid w:val="00DD00BF"/>
    <w:rsid w:val="00DD1901"/>
    <w:rsid w:val="00DD2D2A"/>
    <w:rsid w:val="00DD3102"/>
    <w:rsid w:val="00DD3567"/>
    <w:rsid w:val="00DD4673"/>
    <w:rsid w:val="00DD527F"/>
    <w:rsid w:val="00DD650A"/>
    <w:rsid w:val="00DD6B0F"/>
    <w:rsid w:val="00DD6E9F"/>
    <w:rsid w:val="00DD7782"/>
    <w:rsid w:val="00DE02E1"/>
    <w:rsid w:val="00DE0BA7"/>
    <w:rsid w:val="00DE0D95"/>
    <w:rsid w:val="00DE1143"/>
    <w:rsid w:val="00DE125F"/>
    <w:rsid w:val="00DE26F8"/>
    <w:rsid w:val="00DE2A8D"/>
    <w:rsid w:val="00DE41E0"/>
    <w:rsid w:val="00DE5839"/>
    <w:rsid w:val="00DE5AF9"/>
    <w:rsid w:val="00DE6C5F"/>
    <w:rsid w:val="00DE7E1A"/>
    <w:rsid w:val="00DF0519"/>
    <w:rsid w:val="00DF08DC"/>
    <w:rsid w:val="00DF25EC"/>
    <w:rsid w:val="00DF2CA3"/>
    <w:rsid w:val="00DF4675"/>
    <w:rsid w:val="00DF47E9"/>
    <w:rsid w:val="00DF5778"/>
    <w:rsid w:val="00DF5868"/>
    <w:rsid w:val="00DF5DBF"/>
    <w:rsid w:val="00DF6629"/>
    <w:rsid w:val="00DF6635"/>
    <w:rsid w:val="00DF7A18"/>
    <w:rsid w:val="00DF7C8B"/>
    <w:rsid w:val="00E00028"/>
    <w:rsid w:val="00E00216"/>
    <w:rsid w:val="00E008D7"/>
    <w:rsid w:val="00E0187C"/>
    <w:rsid w:val="00E0276C"/>
    <w:rsid w:val="00E02913"/>
    <w:rsid w:val="00E0401A"/>
    <w:rsid w:val="00E05D3D"/>
    <w:rsid w:val="00E05F13"/>
    <w:rsid w:val="00E06CF7"/>
    <w:rsid w:val="00E10CB3"/>
    <w:rsid w:val="00E114FF"/>
    <w:rsid w:val="00E1474A"/>
    <w:rsid w:val="00E17205"/>
    <w:rsid w:val="00E21379"/>
    <w:rsid w:val="00E214BB"/>
    <w:rsid w:val="00E22A13"/>
    <w:rsid w:val="00E22D99"/>
    <w:rsid w:val="00E2318A"/>
    <w:rsid w:val="00E2413A"/>
    <w:rsid w:val="00E2531B"/>
    <w:rsid w:val="00E25829"/>
    <w:rsid w:val="00E25E7D"/>
    <w:rsid w:val="00E25EDA"/>
    <w:rsid w:val="00E262EB"/>
    <w:rsid w:val="00E272C3"/>
    <w:rsid w:val="00E27C8B"/>
    <w:rsid w:val="00E27DAB"/>
    <w:rsid w:val="00E35E87"/>
    <w:rsid w:val="00E36F3A"/>
    <w:rsid w:val="00E40A74"/>
    <w:rsid w:val="00E40B5E"/>
    <w:rsid w:val="00E432FE"/>
    <w:rsid w:val="00E45274"/>
    <w:rsid w:val="00E4591D"/>
    <w:rsid w:val="00E45C87"/>
    <w:rsid w:val="00E47186"/>
    <w:rsid w:val="00E5012F"/>
    <w:rsid w:val="00E50587"/>
    <w:rsid w:val="00E50632"/>
    <w:rsid w:val="00E528BB"/>
    <w:rsid w:val="00E52B4C"/>
    <w:rsid w:val="00E52DA2"/>
    <w:rsid w:val="00E545F2"/>
    <w:rsid w:val="00E54809"/>
    <w:rsid w:val="00E550F2"/>
    <w:rsid w:val="00E572CC"/>
    <w:rsid w:val="00E62067"/>
    <w:rsid w:val="00E641CA"/>
    <w:rsid w:val="00E716A3"/>
    <w:rsid w:val="00E72A2F"/>
    <w:rsid w:val="00E732CC"/>
    <w:rsid w:val="00E73730"/>
    <w:rsid w:val="00E737A1"/>
    <w:rsid w:val="00E75E3D"/>
    <w:rsid w:val="00E800F2"/>
    <w:rsid w:val="00E80370"/>
    <w:rsid w:val="00E839B9"/>
    <w:rsid w:val="00E84719"/>
    <w:rsid w:val="00E84A55"/>
    <w:rsid w:val="00E86D4B"/>
    <w:rsid w:val="00E871A5"/>
    <w:rsid w:val="00E87410"/>
    <w:rsid w:val="00E87D86"/>
    <w:rsid w:val="00E901DF"/>
    <w:rsid w:val="00E934FE"/>
    <w:rsid w:val="00E93500"/>
    <w:rsid w:val="00E94B34"/>
    <w:rsid w:val="00E95262"/>
    <w:rsid w:val="00E96E23"/>
    <w:rsid w:val="00E9725E"/>
    <w:rsid w:val="00E9758F"/>
    <w:rsid w:val="00EA0928"/>
    <w:rsid w:val="00EA10A8"/>
    <w:rsid w:val="00EA2479"/>
    <w:rsid w:val="00EA24BC"/>
    <w:rsid w:val="00EA352A"/>
    <w:rsid w:val="00EA44AD"/>
    <w:rsid w:val="00EA6EF3"/>
    <w:rsid w:val="00EB0B74"/>
    <w:rsid w:val="00EB1120"/>
    <w:rsid w:val="00EB19BD"/>
    <w:rsid w:val="00EB43DE"/>
    <w:rsid w:val="00EB74BD"/>
    <w:rsid w:val="00EC055D"/>
    <w:rsid w:val="00EC09FD"/>
    <w:rsid w:val="00EC1191"/>
    <w:rsid w:val="00EC5A22"/>
    <w:rsid w:val="00EC7592"/>
    <w:rsid w:val="00EC7685"/>
    <w:rsid w:val="00EC7B0D"/>
    <w:rsid w:val="00ED16D8"/>
    <w:rsid w:val="00ED24B7"/>
    <w:rsid w:val="00ED5FAB"/>
    <w:rsid w:val="00ED7B4C"/>
    <w:rsid w:val="00EE0716"/>
    <w:rsid w:val="00EE3771"/>
    <w:rsid w:val="00EE45C5"/>
    <w:rsid w:val="00EE516E"/>
    <w:rsid w:val="00EE5FDE"/>
    <w:rsid w:val="00EE7839"/>
    <w:rsid w:val="00EE7F78"/>
    <w:rsid w:val="00EF0ADF"/>
    <w:rsid w:val="00EF2151"/>
    <w:rsid w:val="00EF4A3C"/>
    <w:rsid w:val="00EF59A9"/>
    <w:rsid w:val="00EF79DD"/>
    <w:rsid w:val="00F005C3"/>
    <w:rsid w:val="00F0069D"/>
    <w:rsid w:val="00F00984"/>
    <w:rsid w:val="00F02062"/>
    <w:rsid w:val="00F042F6"/>
    <w:rsid w:val="00F05203"/>
    <w:rsid w:val="00F0580F"/>
    <w:rsid w:val="00F111A2"/>
    <w:rsid w:val="00F1141D"/>
    <w:rsid w:val="00F11A29"/>
    <w:rsid w:val="00F11B8B"/>
    <w:rsid w:val="00F136A3"/>
    <w:rsid w:val="00F13D06"/>
    <w:rsid w:val="00F14471"/>
    <w:rsid w:val="00F14F72"/>
    <w:rsid w:val="00F16824"/>
    <w:rsid w:val="00F170BE"/>
    <w:rsid w:val="00F20104"/>
    <w:rsid w:val="00F21259"/>
    <w:rsid w:val="00F23177"/>
    <w:rsid w:val="00F2578C"/>
    <w:rsid w:val="00F25F48"/>
    <w:rsid w:val="00F262F4"/>
    <w:rsid w:val="00F26454"/>
    <w:rsid w:val="00F26A8E"/>
    <w:rsid w:val="00F26DA6"/>
    <w:rsid w:val="00F27C00"/>
    <w:rsid w:val="00F27F11"/>
    <w:rsid w:val="00F329C7"/>
    <w:rsid w:val="00F32E0F"/>
    <w:rsid w:val="00F33C00"/>
    <w:rsid w:val="00F3441B"/>
    <w:rsid w:val="00F34AAF"/>
    <w:rsid w:val="00F34B06"/>
    <w:rsid w:val="00F34E07"/>
    <w:rsid w:val="00F407BE"/>
    <w:rsid w:val="00F41EEF"/>
    <w:rsid w:val="00F428FF"/>
    <w:rsid w:val="00F4334E"/>
    <w:rsid w:val="00F43A94"/>
    <w:rsid w:val="00F45D84"/>
    <w:rsid w:val="00F46BD8"/>
    <w:rsid w:val="00F511CC"/>
    <w:rsid w:val="00F52577"/>
    <w:rsid w:val="00F53B29"/>
    <w:rsid w:val="00F57AA6"/>
    <w:rsid w:val="00F57D28"/>
    <w:rsid w:val="00F57EB3"/>
    <w:rsid w:val="00F60C93"/>
    <w:rsid w:val="00F637BB"/>
    <w:rsid w:val="00F6403A"/>
    <w:rsid w:val="00F648ED"/>
    <w:rsid w:val="00F64E13"/>
    <w:rsid w:val="00F66D37"/>
    <w:rsid w:val="00F67485"/>
    <w:rsid w:val="00F7133F"/>
    <w:rsid w:val="00F71863"/>
    <w:rsid w:val="00F72C5A"/>
    <w:rsid w:val="00F80E8C"/>
    <w:rsid w:val="00F813FB"/>
    <w:rsid w:val="00F821D3"/>
    <w:rsid w:val="00F830C6"/>
    <w:rsid w:val="00F83514"/>
    <w:rsid w:val="00F846AA"/>
    <w:rsid w:val="00F8536E"/>
    <w:rsid w:val="00F86B20"/>
    <w:rsid w:val="00F87DCB"/>
    <w:rsid w:val="00F900D6"/>
    <w:rsid w:val="00F9020B"/>
    <w:rsid w:val="00F927F4"/>
    <w:rsid w:val="00F92B07"/>
    <w:rsid w:val="00F95C35"/>
    <w:rsid w:val="00F96188"/>
    <w:rsid w:val="00F96BD1"/>
    <w:rsid w:val="00F9776B"/>
    <w:rsid w:val="00FA1820"/>
    <w:rsid w:val="00FA20C6"/>
    <w:rsid w:val="00FA3703"/>
    <w:rsid w:val="00FA448E"/>
    <w:rsid w:val="00FA4E83"/>
    <w:rsid w:val="00FA6157"/>
    <w:rsid w:val="00FA621E"/>
    <w:rsid w:val="00FA753D"/>
    <w:rsid w:val="00FB1644"/>
    <w:rsid w:val="00FB225E"/>
    <w:rsid w:val="00FB265C"/>
    <w:rsid w:val="00FB3985"/>
    <w:rsid w:val="00FB3CF1"/>
    <w:rsid w:val="00FB42F4"/>
    <w:rsid w:val="00FB4910"/>
    <w:rsid w:val="00FB5EFB"/>
    <w:rsid w:val="00FB72E6"/>
    <w:rsid w:val="00FB7B02"/>
    <w:rsid w:val="00FB7BB8"/>
    <w:rsid w:val="00FC2B86"/>
    <w:rsid w:val="00FC2C18"/>
    <w:rsid w:val="00FC3604"/>
    <w:rsid w:val="00FD10E1"/>
    <w:rsid w:val="00FD1312"/>
    <w:rsid w:val="00FD2532"/>
    <w:rsid w:val="00FD3A88"/>
    <w:rsid w:val="00FD3B66"/>
    <w:rsid w:val="00FD43F1"/>
    <w:rsid w:val="00FD4797"/>
    <w:rsid w:val="00FD48E0"/>
    <w:rsid w:val="00FD651F"/>
    <w:rsid w:val="00FD7639"/>
    <w:rsid w:val="00FE0432"/>
    <w:rsid w:val="00FE09C5"/>
    <w:rsid w:val="00FE1387"/>
    <w:rsid w:val="00FE14E4"/>
    <w:rsid w:val="00FE2297"/>
    <w:rsid w:val="00FE2487"/>
    <w:rsid w:val="00FE2ED9"/>
    <w:rsid w:val="00FE4063"/>
    <w:rsid w:val="00FE4F5B"/>
    <w:rsid w:val="00FE5C58"/>
    <w:rsid w:val="00FE5C8E"/>
    <w:rsid w:val="00FE5F63"/>
    <w:rsid w:val="00FE6129"/>
    <w:rsid w:val="00FE6671"/>
    <w:rsid w:val="00FE66E5"/>
    <w:rsid w:val="00FE7FDB"/>
    <w:rsid w:val="00FF057E"/>
    <w:rsid w:val="00FF2FD3"/>
    <w:rsid w:val="00FF46B5"/>
    <w:rsid w:val="00FF4BC2"/>
    <w:rsid w:val="00FF5311"/>
    <w:rsid w:val="00FF59D0"/>
    <w:rsid w:val="00FF5A24"/>
    <w:rsid w:val="00FF6E58"/>
    <w:rsid w:val="00FF7248"/>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E49B118"/>
  <w15:chartTrackingRefBased/>
  <w15:docId w15:val="{02AD8596-958D-4575-9B2C-DCAC2DC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57"/>
  </w:style>
  <w:style w:type="paragraph" w:styleId="Heading1">
    <w:name w:val="heading 1"/>
    <w:basedOn w:val="Normal"/>
    <w:next w:val="Normal"/>
    <w:link w:val="Heading1Char"/>
    <w:uiPriority w:val="9"/>
    <w:qFormat/>
    <w:rsid w:val="007A08E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lv-LV"/>
    </w:rPr>
  </w:style>
  <w:style w:type="paragraph" w:styleId="Heading2">
    <w:name w:val="heading 2"/>
    <w:basedOn w:val="Normal"/>
    <w:next w:val="Normal"/>
    <w:link w:val="Heading2Char"/>
    <w:uiPriority w:val="9"/>
    <w:semiHidden/>
    <w:unhideWhenUsed/>
    <w:qFormat/>
    <w:rsid w:val="005D15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Dot pt,F5 List Paragraph,List Paragraph1,No Spacing1,List Paragraph Char Char Char,Indicator Text,Colorful List - Accent 11,Numbered Para 1,Bullet 1,Bullet Points,MAIN CONTENT"/>
    <w:basedOn w:val="Normal"/>
    <w:link w:val="ListParagraphChar"/>
    <w:uiPriority w:val="34"/>
    <w:qFormat/>
    <w:rsid w:val="00355957"/>
    <w:pPr>
      <w:ind w:left="720"/>
      <w:contextualSpacing/>
    </w:pPr>
  </w:style>
  <w:style w:type="paragraph" w:styleId="Header">
    <w:name w:val="header"/>
    <w:basedOn w:val="Normal"/>
    <w:link w:val="HeaderChar"/>
    <w:uiPriority w:val="99"/>
    <w:unhideWhenUsed/>
    <w:rsid w:val="00355957"/>
    <w:pPr>
      <w:tabs>
        <w:tab w:val="center" w:pos="4153"/>
        <w:tab w:val="right" w:pos="8306"/>
      </w:tabs>
    </w:pPr>
  </w:style>
  <w:style w:type="character" w:customStyle="1" w:styleId="HeaderChar">
    <w:name w:val="Header Char"/>
    <w:basedOn w:val="DefaultParagraphFont"/>
    <w:link w:val="Header"/>
    <w:uiPriority w:val="99"/>
    <w:rsid w:val="00355957"/>
  </w:style>
  <w:style w:type="paragraph" w:styleId="Footer">
    <w:name w:val="footer"/>
    <w:basedOn w:val="Normal"/>
    <w:link w:val="FooterChar"/>
    <w:uiPriority w:val="99"/>
    <w:unhideWhenUsed/>
    <w:rsid w:val="00355957"/>
    <w:pPr>
      <w:tabs>
        <w:tab w:val="center" w:pos="4153"/>
        <w:tab w:val="right" w:pos="8306"/>
      </w:tabs>
    </w:pPr>
  </w:style>
  <w:style w:type="character" w:customStyle="1" w:styleId="FooterChar">
    <w:name w:val="Footer Char"/>
    <w:basedOn w:val="DefaultParagraphFont"/>
    <w:link w:val="Footer"/>
    <w:uiPriority w:val="99"/>
    <w:rsid w:val="00355957"/>
  </w:style>
  <w:style w:type="paragraph" w:styleId="CommentText">
    <w:name w:val="annotation text"/>
    <w:basedOn w:val="Normal"/>
    <w:link w:val="CommentTextChar"/>
    <w:rsid w:val="006721FB"/>
    <w:pPr>
      <w:spacing w:after="200" w:line="276" w:lineRule="auto"/>
    </w:pPr>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rsid w:val="006721FB"/>
    <w:rPr>
      <w:rFonts w:ascii="Calibri" w:eastAsia="ヒラギノ角ゴ Pro W3" w:hAnsi="Calibri" w:cs="Times New Roman"/>
      <w:color w:val="000000"/>
      <w:sz w:val="20"/>
      <w:szCs w:val="20"/>
    </w:rPr>
  </w:style>
  <w:style w:type="character" w:styleId="CommentReference">
    <w:name w:val="annotation reference"/>
    <w:uiPriority w:val="99"/>
    <w:rsid w:val="006721FB"/>
    <w:rPr>
      <w:sz w:val="16"/>
      <w:szCs w:val="16"/>
    </w:rPr>
  </w:style>
  <w:style w:type="paragraph" w:styleId="BalloonText">
    <w:name w:val="Balloon Text"/>
    <w:basedOn w:val="Normal"/>
    <w:link w:val="BalloonTextChar"/>
    <w:uiPriority w:val="99"/>
    <w:semiHidden/>
    <w:unhideWhenUsed/>
    <w:rsid w:val="00672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FB"/>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6721FB"/>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6721FB"/>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6721FB"/>
    <w:rPr>
      <w:vertAlign w:val="superscript"/>
    </w:rPr>
  </w:style>
  <w:style w:type="character" w:customStyle="1" w:styleId="ListParagraphChar">
    <w:name w:val="List Paragraph Char"/>
    <w:aliases w:val="H&amp;P List Paragraph Char,2 Char,Strip Char,Colorful List - Accent 12 Char,Dot pt Char,F5 List Paragraph Char,List Paragraph1 Char,No Spacing1 Char,List Paragraph Char Char Char Char,Indicator Text Char,Colorful List - Accent 11 Char"/>
    <w:link w:val="ListParagraph"/>
    <w:uiPriority w:val="34"/>
    <w:qFormat/>
    <w:locked/>
    <w:rsid w:val="006721FB"/>
  </w:style>
  <w:style w:type="paragraph" w:customStyle="1" w:styleId="CharCharCharChar">
    <w:name w:val="Char Char Char Char"/>
    <w:aliases w:val="Char2"/>
    <w:basedOn w:val="Normal"/>
    <w:next w:val="Normal"/>
    <w:link w:val="FootnoteReference"/>
    <w:uiPriority w:val="99"/>
    <w:rsid w:val="00686513"/>
    <w:pPr>
      <w:spacing w:after="160" w:line="240" w:lineRule="exact"/>
      <w:jc w:val="both"/>
      <w:textAlignment w:val="baseline"/>
    </w:pPr>
    <w:rPr>
      <w:vertAlign w:val="superscript"/>
    </w:rPr>
  </w:style>
  <w:style w:type="paragraph" w:styleId="NoSpacing">
    <w:name w:val="No Spacing"/>
    <w:uiPriority w:val="1"/>
    <w:qFormat/>
    <w:rsid w:val="00CF584C"/>
    <w:rPr>
      <w:rFonts w:ascii="Calibri" w:eastAsia="ヒラギノ角ゴ Pro W3" w:hAnsi="Calibri" w:cs="Times New Roman"/>
      <w:color w:val="000000"/>
      <w:sz w:val="22"/>
      <w:szCs w:val="24"/>
    </w:rPr>
  </w:style>
  <w:style w:type="paragraph" w:customStyle="1" w:styleId="Default">
    <w:name w:val="Default"/>
    <w:rsid w:val="008D109E"/>
    <w:pPr>
      <w:autoSpaceDE w:val="0"/>
      <w:autoSpaceDN w:val="0"/>
      <w:adjustRightInd w:val="0"/>
    </w:pPr>
    <w:rPr>
      <w:rFonts w:eastAsia="Calibri" w:cs="Times New Roman"/>
      <w:color w:val="000000"/>
      <w:szCs w:val="24"/>
      <w:lang w:val="en-US"/>
    </w:rPr>
  </w:style>
  <w:style w:type="paragraph" w:styleId="CommentSubject">
    <w:name w:val="annotation subject"/>
    <w:basedOn w:val="CommentText"/>
    <w:next w:val="CommentText"/>
    <w:link w:val="CommentSubjectChar"/>
    <w:uiPriority w:val="99"/>
    <w:semiHidden/>
    <w:unhideWhenUsed/>
    <w:rsid w:val="00C81C59"/>
    <w:pPr>
      <w:spacing w:after="0" w:line="240" w:lineRule="auto"/>
    </w:pPr>
    <w:rPr>
      <w:rFonts w:ascii="Times New Roman" w:eastAsiaTheme="minorHAnsi" w:hAnsi="Times New Roman" w:cstheme="minorBidi"/>
      <w:b/>
      <w:bCs/>
      <w:color w:val="auto"/>
    </w:rPr>
  </w:style>
  <w:style w:type="character" w:customStyle="1" w:styleId="CommentSubjectChar">
    <w:name w:val="Comment Subject Char"/>
    <w:basedOn w:val="CommentTextChar"/>
    <w:link w:val="CommentSubject"/>
    <w:uiPriority w:val="99"/>
    <w:semiHidden/>
    <w:rsid w:val="00C81C59"/>
    <w:rPr>
      <w:rFonts w:ascii="Calibri" w:eastAsia="ヒラギノ角ゴ Pro W3" w:hAnsi="Calibri" w:cs="Times New Roman"/>
      <w:b/>
      <w:bCs/>
      <w:color w:val="000000"/>
      <w:sz w:val="20"/>
      <w:szCs w:val="20"/>
    </w:rPr>
  </w:style>
  <w:style w:type="paragraph" w:styleId="Revision">
    <w:name w:val="Revision"/>
    <w:hidden/>
    <w:uiPriority w:val="99"/>
    <w:semiHidden/>
    <w:rsid w:val="00AB4E40"/>
  </w:style>
  <w:style w:type="paragraph" w:styleId="PlainText">
    <w:name w:val="Plain Text"/>
    <w:basedOn w:val="Normal"/>
    <w:link w:val="PlainTextChar"/>
    <w:uiPriority w:val="99"/>
    <w:unhideWhenUsed/>
    <w:rsid w:val="00764937"/>
    <w:rPr>
      <w:rFonts w:ascii="Calibri" w:hAnsi="Calibri"/>
      <w:color w:val="1F497D"/>
      <w:sz w:val="22"/>
      <w:szCs w:val="21"/>
    </w:rPr>
  </w:style>
  <w:style w:type="character" w:customStyle="1" w:styleId="PlainTextChar">
    <w:name w:val="Plain Text Char"/>
    <w:basedOn w:val="DefaultParagraphFont"/>
    <w:link w:val="PlainText"/>
    <w:uiPriority w:val="99"/>
    <w:rsid w:val="00764937"/>
    <w:rPr>
      <w:rFonts w:ascii="Calibri" w:hAnsi="Calibri"/>
      <w:color w:val="1F497D"/>
      <w:sz w:val="22"/>
      <w:szCs w:val="21"/>
    </w:rPr>
  </w:style>
  <w:style w:type="paragraph" w:customStyle="1" w:styleId="Style35">
    <w:name w:val="Style35"/>
    <w:basedOn w:val="Normal"/>
    <w:uiPriority w:val="99"/>
    <w:rsid w:val="00474E90"/>
    <w:pPr>
      <w:widowControl w:val="0"/>
      <w:autoSpaceDE w:val="0"/>
      <w:autoSpaceDN w:val="0"/>
      <w:adjustRightInd w:val="0"/>
    </w:pPr>
    <w:rPr>
      <w:rFonts w:eastAsiaTheme="minorEastAsia" w:cs="Times New Roman"/>
      <w:szCs w:val="24"/>
      <w:lang w:val="en-US"/>
    </w:rPr>
  </w:style>
  <w:style w:type="character" w:customStyle="1" w:styleId="FontStyle40">
    <w:name w:val="Font Style40"/>
    <w:basedOn w:val="DefaultParagraphFont"/>
    <w:uiPriority w:val="99"/>
    <w:rsid w:val="00474E90"/>
    <w:rPr>
      <w:rFonts w:ascii="Times New Roman" w:hAnsi="Times New Roman" w:cs="Times New Roman"/>
      <w:sz w:val="24"/>
      <w:szCs w:val="24"/>
    </w:rPr>
  </w:style>
  <w:style w:type="paragraph" w:customStyle="1" w:styleId="tv2131">
    <w:name w:val="tv2131"/>
    <w:basedOn w:val="Normal"/>
    <w:rsid w:val="00CB2579"/>
    <w:pPr>
      <w:spacing w:line="360" w:lineRule="auto"/>
      <w:ind w:firstLine="300"/>
    </w:pPr>
    <w:rPr>
      <w:rFonts w:eastAsia="Times New Roman" w:cs="Times New Roman"/>
      <w:color w:val="414142"/>
      <w:sz w:val="20"/>
      <w:szCs w:val="20"/>
      <w:lang w:eastAsia="lv-LV"/>
    </w:rPr>
  </w:style>
  <w:style w:type="character" w:customStyle="1" w:styleId="ListParagraphChar1">
    <w:name w:val="List Paragraph Char1"/>
    <w:uiPriority w:val="34"/>
    <w:qFormat/>
    <w:locked/>
    <w:rsid w:val="00CB2579"/>
    <w:rPr>
      <w:rFonts w:ascii="Calibri" w:eastAsia="MS Mincho" w:hAnsi="Calibri"/>
      <w:sz w:val="22"/>
      <w:szCs w:val="22"/>
    </w:rPr>
  </w:style>
  <w:style w:type="paragraph" w:customStyle="1" w:styleId="tv213">
    <w:name w:val="tv213"/>
    <w:basedOn w:val="Normal"/>
    <w:rsid w:val="00CB2579"/>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912B63"/>
    <w:pPr>
      <w:spacing w:before="100" w:beforeAutospacing="1" w:after="100" w:afterAutospacing="1"/>
    </w:pPr>
    <w:rPr>
      <w:rFonts w:eastAsia="Times New Roman" w:cs="Times New Roman"/>
      <w:szCs w:val="24"/>
      <w:lang w:eastAsia="lv-LV"/>
    </w:rPr>
  </w:style>
  <w:style w:type="paragraph" w:customStyle="1" w:styleId="naiskr">
    <w:name w:val="naiskr"/>
    <w:basedOn w:val="Normal"/>
    <w:rsid w:val="00D019AF"/>
    <w:pPr>
      <w:suppressAutoHyphens/>
      <w:autoSpaceDN w:val="0"/>
      <w:spacing w:before="75" w:after="75"/>
    </w:pPr>
    <w:rPr>
      <w:rFonts w:eastAsia="Times New Roman" w:cs="Times New Roman"/>
      <w:kern w:val="3"/>
      <w:szCs w:val="24"/>
      <w:lang w:eastAsia="lv-LV"/>
    </w:rPr>
  </w:style>
  <w:style w:type="character" w:styleId="Hyperlink">
    <w:name w:val="Hyperlink"/>
    <w:uiPriority w:val="99"/>
    <w:unhideWhenUsed/>
    <w:rsid w:val="009D2B77"/>
    <w:rPr>
      <w:color w:val="0000FF"/>
      <w:u w:val="single"/>
    </w:rPr>
  </w:style>
  <w:style w:type="character" w:customStyle="1" w:styleId="Heading1Char">
    <w:name w:val="Heading 1 Char"/>
    <w:basedOn w:val="DefaultParagraphFont"/>
    <w:link w:val="Heading1"/>
    <w:uiPriority w:val="9"/>
    <w:rsid w:val="007A08E2"/>
    <w:rPr>
      <w:rFonts w:asciiTheme="majorHAnsi" w:eastAsiaTheme="majorEastAsia" w:hAnsiTheme="majorHAnsi" w:cstheme="majorBidi"/>
      <w:color w:val="2E74B5" w:themeColor="accent1" w:themeShade="BF"/>
      <w:sz w:val="32"/>
      <w:szCs w:val="32"/>
      <w:lang w:eastAsia="lv-LV"/>
    </w:rPr>
  </w:style>
  <w:style w:type="character" w:styleId="FollowedHyperlink">
    <w:name w:val="FollowedHyperlink"/>
    <w:basedOn w:val="DefaultParagraphFont"/>
    <w:uiPriority w:val="99"/>
    <w:semiHidden/>
    <w:unhideWhenUsed/>
    <w:rsid w:val="00CE1D42"/>
    <w:rPr>
      <w:color w:val="954F72" w:themeColor="followedHyperlink"/>
      <w:u w:val="single"/>
    </w:rPr>
  </w:style>
  <w:style w:type="character" w:customStyle="1" w:styleId="oj-italic">
    <w:name w:val="oj-italic"/>
    <w:basedOn w:val="DefaultParagraphFont"/>
    <w:rsid w:val="0087619D"/>
  </w:style>
  <w:style w:type="paragraph" w:customStyle="1" w:styleId="tv2132">
    <w:name w:val="tv2132"/>
    <w:basedOn w:val="Normal"/>
    <w:rsid w:val="009522C8"/>
    <w:pPr>
      <w:spacing w:line="360" w:lineRule="auto"/>
      <w:ind w:firstLine="300"/>
    </w:pPr>
    <w:rPr>
      <w:rFonts w:eastAsia="Times New Roman" w:cs="Times New Roman"/>
      <w:color w:val="414142"/>
      <w:sz w:val="20"/>
      <w:szCs w:val="20"/>
      <w:lang w:eastAsia="lv-LV"/>
    </w:rPr>
  </w:style>
  <w:style w:type="character" w:customStyle="1" w:styleId="Heading2Char">
    <w:name w:val="Heading 2 Char"/>
    <w:basedOn w:val="DefaultParagraphFont"/>
    <w:link w:val="Heading2"/>
    <w:uiPriority w:val="9"/>
    <w:semiHidden/>
    <w:rsid w:val="005D153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D1536"/>
    <w:pPr>
      <w:spacing w:before="100" w:beforeAutospacing="1" w:after="100" w:afterAutospacing="1"/>
    </w:pPr>
    <w:rPr>
      <w:rFonts w:eastAsiaTheme="minorEastAsia" w:cs="Times New Roman"/>
      <w:szCs w:val="24"/>
      <w:lang w:val="en-GB" w:eastAsia="en-GB" w:bidi="ne-NP"/>
    </w:rPr>
  </w:style>
  <w:style w:type="character" w:customStyle="1" w:styleId="normaltextrun">
    <w:name w:val="normaltextrun"/>
    <w:basedOn w:val="DefaultParagraphFont"/>
    <w:rsid w:val="005D1536"/>
  </w:style>
  <w:style w:type="character" w:customStyle="1" w:styleId="eop">
    <w:name w:val="eop"/>
    <w:basedOn w:val="DefaultParagraphFont"/>
    <w:rsid w:val="005D1536"/>
  </w:style>
  <w:style w:type="character" w:customStyle="1" w:styleId="expand-control-text">
    <w:name w:val="expand-control-text"/>
    <w:basedOn w:val="DefaultParagraphFont"/>
    <w:rsid w:val="005D1536"/>
  </w:style>
  <w:style w:type="character" w:styleId="Emphasis">
    <w:name w:val="Emphasis"/>
    <w:basedOn w:val="DefaultParagraphFont"/>
    <w:uiPriority w:val="20"/>
    <w:qFormat/>
    <w:rsid w:val="005D1536"/>
    <w:rPr>
      <w:i/>
      <w:iCs/>
    </w:rPr>
  </w:style>
  <w:style w:type="paragraph" w:customStyle="1" w:styleId="xxmsolistparagraph">
    <w:name w:val="x_xmsolistparagraph"/>
    <w:basedOn w:val="Normal"/>
    <w:rsid w:val="006D73DD"/>
    <w:rPr>
      <w:rFonts w:ascii="Calibri" w:hAnsi="Calibri" w:cs="Calibri"/>
      <w:sz w:val="22"/>
      <w:lang w:val="en-GB" w:eastAsia="en-GB" w:bidi="ne-NP"/>
    </w:rPr>
  </w:style>
  <w:style w:type="paragraph" w:customStyle="1" w:styleId="xxmsonormal">
    <w:name w:val="x_xmsonormal"/>
    <w:basedOn w:val="Normal"/>
    <w:rsid w:val="00582980"/>
    <w:rPr>
      <w:rFonts w:ascii="Calibri" w:hAnsi="Calibri" w:cs="Calibri"/>
      <w:sz w:val="22"/>
      <w:lang w:val="en-GB" w:eastAsia="en-GB" w:bidi="ne-NP"/>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35931"/>
    <w:pPr>
      <w:spacing w:after="160" w:line="240" w:lineRule="exact"/>
      <w:jc w:val="both"/>
    </w:pPr>
    <w:rPr>
      <w:rFonts w:asciiTheme="minorHAnsi" w:hAnsiTheme="minorHAnsi"/>
      <w:sz w:val="22"/>
      <w:vertAlign w:val="superscript"/>
    </w:rPr>
  </w:style>
  <w:style w:type="paragraph" w:customStyle="1" w:styleId="oj-doc-ti">
    <w:name w:val="oj-doc-ti"/>
    <w:basedOn w:val="Normal"/>
    <w:rsid w:val="00935931"/>
    <w:pPr>
      <w:spacing w:before="240" w:after="120"/>
      <w:jc w:val="center"/>
    </w:pPr>
    <w:rPr>
      <w:rFonts w:eastAsia="Times New Roman" w:cs="Times New Roman"/>
      <w:b/>
      <w:bCs/>
      <w:szCs w:val="24"/>
      <w:lang w:val="en-GB" w:eastAsia="en-GB" w:bidi="ne-NP"/>
    </w:rPr>
  </w:style>
  <w:style w:type="paragraph" w:customStyle="1" w:styleId="Standard">
    <w:name w:val="Standard"/>
    <w:rsid w:val="007C2C52"/>
    <w:pPr>
      <w:suppressAutoHyphens/>
      <w:autoSpaceDN w:val="0"/>
      <w:jc w:val="both"/>
      <w:textAlignment w:val="baseline"/>
    </w:pPr>
    <w:rPr>
      <w:rFonts w:ascii="Garamond" w:eastAsia="Times New Roman" w:hAnsi="Garamond" w:cs="Times New Roman"/>
      <w:kern w:val="3"/>
      <w:sz w:val="20"/>
      <w:szCs w:val="20"/>
      <w:lang w:val="en-GB" w:eastAsia="zh-CN"/>
    </w:rPr>
  </w:style>
  <w:style w:type="character" w:styleId="Strong">
    <w:name w:val="Strong"/>
    <w:basedOn w:val="DefaultParagraphFont"/>
    <w:uiPriority w:val="22"/>
    <w:qFormat/>
    <w:rsid w:val="00527C11"/>
    <w:rPr>
      <w:b/>
      <w:bCs/>
    </w:rPr>
  </w:style>
  <w:style w:type="character" w:customStyle="1" w:styleId="cf01">
    <w:name w:val="cf01"/>
    <w:basedOn w:val="DefaultParagraphFont"/>
    <w:rsid w:val="008F7ACC"/>
    <w:rPr>
      <w:rFonts w:ascii="Segoe UI" w:hAnsi="Segoe UI" w:cs="Segoe UI" w:hint="default"/>
    </w:rPr>
  </w:style>
  <w:style w:type="paragraph" w:customStyle="1" w:styleId="oj-normal">
    <w:name w:val="oj-normal"/>
    <w:basedOn w:val="Normal"/>
    <w:rsid w:val="00536BCC"/>
    <w:pPr>
      <w:spacing w:before="100" w:beforeAutospacing="1" w:after="100" w:afterAutospacing="1"/>
    </w:pPr>
    <w:rPr>
      <w:rFonts w:eastAsia="Times New Roman" w:cs="Times New Roman"/>
      <w:szCs w:val="24"/>
      <w:lang w:val="en-GB" w:eastAsia="en-GB" w:bidi="ne-NP"/>
    </w:rPr>
  </w:style>
  <w:style w:type="character" w:customStyle="1" w:styleId="phrase">
    <w:name w:val="phrase"/>
    <w:basedOn w:val="DefaultParagraphFont"/>
    <w:rsid w:val="003E7255"/>
  </w:style>
  <w:style w:type="character" w:customStyle="1" w:styleId="word">
    <w:name w:val="word"/>
    <w:basedOn w:val="DefaultParagraphFont"/>
    <w:rsid w:val="003E7255"/>
  </w:style>
  <w:style w:type="paragraph" w:customStyle="1" w:styleId="EYBodyText">
    <w:name w:val="EY Body Text"/>
    <w:basedOn w:val="Normal"/>
    <w:link w:val="EYBodyTextChar"/>
    <w:uiPriority w:val="99"/>
    <w:rsid w:val="00C502A1"/>
    <w:pPr>
      <w:overflowPunct w:val="0"/>
      <w:autoSpaceDE w:val="0"/>
      <w:autoSpaceDN w:val="0"/>
      <w:adjustRightInd w:val="0"/>
      <w:spacing w:after="120" w:line="280" w:lineRule="atLeast"/>
      <w:textAlignment w:val="baseline"/>
    </w:pPr>
    <w:rPr>
      <w:rFonts w:eastAsia="MS Mincho" w:cs="Times New Roman"/>
      <w:bCs/>
      <w:sz w:val="22"/>
      <w:szCs w:val="20"/>
      <w:lang w:val="x-none" w:eastAsia="x-none"/>
    </w:rPr>
  </w:style>
  <w:style w:type="character" w:customStyle="1" w:styleId="EYBodyTextChar">
    <w:name w:val="EY Body Text Char"/>
    <w:link w:val="EYBodyText"/>
    <w:uiPriority w:val="99"/>
    <w:locked/>
    <w:rsid w:val="00C502A1"/>
    <w:rPr>
      <w:rFonts w:eastAsia="MS Mincho" w:cs="Times New Roman"/>
      <w:bCs/>
      <w:sz w:val="22"/>
      <w:szCs w:val="20"/>
      <w:lang w:val="x-none" w:eastAsia="x-none"/>
    </w:rPr>
  </w:style>
  <w:style w:type="paragraph" w:customStyle="1" w:styleId="xxxmsonormal">
    <w:name w:val="x_xxmsonormal"/>
    <w:basedOn w:val="Normal"/>
    <w:rsid w:val="00A25BA0"/>
    <w:rPr>
      <w:rFonts w:ascii="Calibri" w:hAnsi="Calibri" w:cs="Calibri"/>
      <w:sz w:val="22"/>
      <w:lang w:val="en-GB" w:eastAsia="en-GB" w:bidi="ne-NP"/>
    </w:rPr>
  </w:style>
  <w:style w:type="character" w:customStyle="1" w:styleId="contentpasted0">
    <w:name w:val="contentpasted0"/>
    <w:basedOn w:val="DefaultParagraphFont"/>
    <w:rsid w:val="00A25BA0"/>
  </w:style>
  <w:style w:type="paragraph" w:customStyle="1" w:styleId="xmsonormal">
    <w:name w:val="x_msonormal"/>
    <w:basedOn w:val="Normal"/>
    <w:rsid w:val="00D31EDC"/>
    <w:pPr>
      <w:spacing w:before="100" w:beforeAutospacing="1" w:after="100" w:afterAutospacing="1"/>
    </w:pPr>
    <w:rPr>
      <w:rFonts w:ascii="Calibri" w:hAnsi="Calibri" w:cs="Calibri"/>
      <w:sz w:val="22"/>
      <w:lang w:val="en-GB" w:eastAsia="en-GB" w:bidi="ne-NP"/>
    </w:rPr>
  </w:style>
  <w:style w:type="character" w:customStyle="1" w:styleId="cf11">
    <w:name w:val="cf11"/>
    <w:basedOn w:val="DefaultParagraphFont"/>
    <w:rsid w:val="00B337F9"/>
    <w:rPr>
      <w:rFonts w:ascii="Segoe UI" w:hAnsi="Segoe UI" w:cs="Segoe UI" w:hint="default"/>
      <w:i/>
      <w:iCs/>
    </w:rPr>
  </w:style>
  <w:style w:type="paragraph" w:customStyle="1" w:styleId="xxmsonormal0">
    <w:name w:val="x_x_msonormal"/>
    <w:basedOn w:val="Normal"/>
    <w:rsid w:val="001B3CB5"/>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270">
      <w:bodyDiv w:val="1"/>
      <w:marLeft w:val="0"/>
      <w:marRight w:val="0"/>
      <w:marTop w:val="0"/>
      <w:marBottom w:val="0"/>
      <w:divBdr>
        <w:top w:val="none" w:sz="0" w:space="0" w:color="auto"/>
        <w:left w:val="none" w:sz="0" w:space="0" w:color="auto"/>
        <w:bottom w:val="none" w:sz="0" w:space="0" w:color="auto"/>
        <w:right w:val="none" w:sz="0" w:space="0" w:color="auto"/>
      </w:divBdr>
    </w:div>
    <w:div w:id="33426131">
      <w:bodyDiv w:val="1"/>
      <w:marLeft w:val="0"/>
      <w:marRight w:val="0"/>
      <w:marTop w:val="0"/>
      <w:marBottom w:val="0"/>
      <w:divBdr>
        <w:top w:val="none" w:sz="0" w:space="0" w:color="auto"/>
        <w:left w:val="none" w:sz="0" w:space="0" w:color="auto"/>
        <w:bottom w:val="none" w:sz="0" w:space="0" w:color="auto"/>
        <w:right w:val="none" w:sz="0" w:space="0" w:color="auto"/>
      </w:divBdr>
    </w:div>
    <w:div w:id="45029119">
      <w:bodyDiv w:val="1"/>
      <w:marLeft w:val="0"/>
      <w:marRight w:val="0"/>
      <w:marTop w:val="0"/>
      <w:marBottom w:val="0"/>
      <w:divBdr>
        <w:top w:val="none" w:sz="0" w:space="0" w:color="auto"/>
        <w:left w:val="none" w:sz="0" w:space="0" w:color="auto"/>
        <w:bottom w:val="none" w:sz="0" w:space="0" w:color="auto"/>
        <w:right w:val="none" w:sz="0" w:space="0" w:color="auto"/>
      </w:divBdr>
    </w:div>
    <w:div w:id="46028157">
      <w:bodyDiv w:val="1"/>
      <w:marLeft w:val="0"/>
      <w:marRight w:val="0"/>
      <w:marTop w:val="0"/>
      <w:marBottom w:val="0"/>
      <w:divBdr>
        <w:top w:val="none" w:sz="0" w:space="0" w:color="auto"/>
        <w:left w:val="none" w:sz="0" w:space="0" w:color="auto"/>
        <w:bottom w:val="none" w:sz="0" w:space="0" w:color="auto"/>
        <w:right w:val="none" w:sz="0" w:space="0" w:color="auto"/>
      </w:divBdr>
    </w:div>
    <w:div w:id="60444397">
      <w:bodyDiv w:val="1"/>
      <w:marLeft w:val="0"/>
      <w:marRight w:val="0"/>
      <w:marTop w:val="0"/>
      <w:marBottom w:val="0"/>
      <w:divBdr>
        <w:top w:val="none" w:sz="0" w:space="0" w:color="auto"/>
        <w:left w:val="none" w:sz="0" w:space="0" w:color="auto"/>
        <w:bottom w:val="none" w:sz="0" w:space="0" w:color="auto"/>
        <w:right w:val="none" w:sz="0" w:space="0" w:color="auto"/>
      </w:divBdr>
    </w:div>
    <w:div w:id="68425381">
      <w:bodyDiv w:val="1"/>
      <w:marLeft w:val="0"/>
      <w:marRight w:val="0"/>
      <w:marTop w:val="0"/>
      <w:marBottom w:val="0"/>
      <w:divBdr>
        <w:top w:val="none" w:sz="0" w:space="0" w:color="auto"/>
        <w:left w:val="none" w:sz="0" w:space="0" w:color="auto"/>
        <w:bottom w:val="none" w:sz="0" w:space="0" w:color="auto"/>
        <w:right w:val="none" w:sz="0" w:space="0" w:color="auto"/>
      </w:divBdr>
    </w:div>
    <w:div w:id="124810821">
      <w:bodyDiv w:val="1"/>
      <w:marLeft w:val="0"/>
      <w:marRight w:val="0"/>
      <w:marTop w:val="0"/>
      <w:marBottom w:val="0"/>
      <w:divBdr>
        <w:top w:val="none" w:sz="0" w:space="0" w:color="auto"/>
        <w:left w:val="none" w:sz="0" w:space="0" w:color="auto"/>
        <w:bottom w:val="none" w:sz="0" w:space="0" w:color="auto"/>
        <w:right w:val="none" w:sz="0" w:space="0" w:color="auto"/>
      </w:divBdr>
    </w:div>
    <w:div w:id="137385422">
      <w:bodyDiv w:val="1"/>
      <w:marLeft w:val="0"/>
      <w:marRight w:val="0"/>
      <w:marTop w:val="0"/>
      <w:marBottom w:val="0"/>
      <w:divBdr>
        <w:top w:val="none" w:sz="0" w:space="0" w:color="auto"/>
        <w:left w:val="none" w:sz="0" w:space="0" w:color="auto"/>
        <w:bottom w:val="none" w:sz="0" w:space="0" w:color="auto"/>
        <w:right w:val="none" w:sz="0" w:space="0" w:color="auto"/>
      </w:divBdr>
    </w:div>
    <w:div w:id="139543398">
      <w:bodyDiv w:val="1"/>
      <w:marLeft w:val="0"/>
      <w:marRight w:val="0"/>
      <w:marTop w:val="0"/>
      <w:marBottom w:val="0"/>
      <w:divBdr>
        <w:top w:val="none" w:sz="0" w:space="0" w:color="auto"/>
        <w:left w:val="none" w:sz="0" w:space="0" w:color="auto"/>
        <w:bottom w:val="none" w:sz="0" w:space="0" w:color="auto"/>
        <w:right w:val="none" w:sz="0" w:space="0" w:color="auto"/>
      </w:divBdr>
    </w:div>
    <w:div w:id="180164596">
      <w:bodyDiv w:val="1"/>
      <w:marLeft w:val="0"/>
      <w:marRight w:val="0"/>
      <w:marTop w:val="0"/>
      <w:marBottom w:val="0"/>
      <w:divBdr>
        <w:top w:val="none" w:sz="0" w:space="0" w:color="auto"/>
        <w:left w:val="none" w:sz="0" w:space="0" w:color="auto"/>
        <w:bottom w:val="none" w:sz="0" w:space="0" w:color="auto"/>
        <w:right w:val="none" w:sz="0" w:space="0" w:color="auto"/>
      </w:divBdr>
    </w:div>
    <w:div w:id="189413958">
      <w:bodyDiv w:val="1"/>
      <w:marLeft w:val="0"/>
      <w:marRight w:val="0"/>
      <w:marTop w:val="0"/>
      <w:marBottom w:val="0"/>
      <w:divBdr>
        <w:top w:val="none" w:sz="0" w:space="0" w:color="auto"/>
        <w:left w:val="none" w:sz="0" w:space="0" w:color="auto"/>
        <w:bottom w:val="none" w:sz="0" w:space="0" w:color="auto"/>
        <w:right w:val="none" w:sz="0" w:space="0" w:color="auto"/>
      </w:divBdr>
    </w:div>
    <w:div w:id="225840020">
      <w:bodyDiv w:val="1"/>
      <w:marLeft w:val="0"/>
      <w:marRight w:val="0"/>
      <w:marTop w:val="0"/>
      <w:marBottom w:val="0"/>
      <w:divBdr>
        <w:top w:val="none" w:sz="0" w:space="0" w:color="auto"/>
        <w:left w:val="none" w:sz="0" w:space="0" w:color="auto"/>
        <w:bottom w:val="none" w:sz="0" w:space="0" w:color="auto"/>
        <w:right w:val="none" w:sz="0" w:space="0" w:color="auto"/>
      </w:divBdr>
    </w:div>
    <w:div w:id="228272670">
      <w:bodyDiv w:val="1"/>
      <w:marLeft w:val="0"/>
      <w:marRight w:val="0"/>
      <w:marTop w:val="0"/>
      <w:marBottom w:val="0"/>
      <w:divBdr>
        <w:top w:val="none" w:sz="0" w:space="0" w:color="auto"/>
        <w:left w:val="none" w:sz="0" w:space="0" w:color="auto"/>
        <w:bottom w:val="none" w:sz="0" w:space="0" w:color="auto"/>
        <w:right w:val="none" w:sz="0" w:space="0" w:color="auto"/>
      </w:divBdr>
    </w:div>
    <w:div w:id="244533197">
      <w:bodyDiv w:val="1"/>
      <w:marLeft w:val="0"/>
      <w:marRight w:val="0"/>
      <w:marTop w:val="0"/>
      <w:marBottom w:val="0"/>
      <w:divBdr>
        <w:top w:val="none" w:sz="0" w:space="0" w:color="auto"/>
        <w:left w:val="none" w:sz="0" w:space="0" w:color="auto"/>
        <w:bottom w:val="none" w:sz="0" w:space="0" w:color="auto"/>
        <w:right w:val="none" w:sz="0" w:space="0" w:color="auto"/>
      </w:divBdr>
    </w:div>
    <w:div w:id="247471353">
      <w:bodyDiv w:val="1"/>
      <w:marLeft w:val="0"/>
      <w:marRight w:val="0"/>
      <w:marTop w:val="0"/>
      <w:marBottom w:val="0"/>
      <w:divBdr>
        <w:top w:val="none" w:sz="0" w:space="0" w:color="auto"/>
        <w:left w:val="none" w:sz="0" w:space="0" w:color="auto"/>
        <w:bottom w:val="none" w:sz="0" w:space="0" w:color="auto"/>
        <w:right w:val="none" w:sz="0" w:space="0" w:color="auto"/>
      </w:divBdr>
    </w:div>
    <w:div w:id="279922100">
      <w:bodyDiv w:val="1"/>
      <w:marLeft w:val="0"/>
      <w:marRight w:val="0"/>
      <w:marTop w:val="0"/>
      <w:marBottom w:val="0"/>
      <w:divBdr>
        <w:top w:val="none" w:sz="0" w:space="0" w:color="auto"/>
        <w:left w:val="none" w:sz="0" w:space="0" w:color="auto"/>
        <w:bottom w:val="none" w:sz="0" w:space="0" w:color="auto"/>
        <w:right w:val="none" w:sz="0" w:space="0" w:color="auto"/>
      </w:divBdr>
    </w:div>
    <w:div w:id="316350903">
      <w:bodyDiv w:val="1"/>
      <w:marLeft w:val="0"/>
      <w:marRight w:val="0"/>
      <w:marTop w:val="0"/>
      <w:marBottom w:val="0"/>
      <w:divBdr>
        <w:top w:val="none" w:sz="0" w:space="0" w:color="auto"/>
        <w:left w:val="none" w:sz="0" w:space="0" w:color="auto"/>
        <w:bottom w:val="none" w:sz="0" w:space="0" w:color="auto"/>
        <w:right w:val="none" w:sz="0" w:space="0" w:color="auto"/>
      </w:divBdr>
    </w:div>
    <w:div w:id="321782705">
      <w:bodyDiv w:val="1"/>
      <w:marLeft w:val="0"/>
      <w:marRight w:val="0"/>
      <w:marTop w:val="0"/>
      <w:marBottom w:val="0"/>
      <w:divBdr>
        <w:top w:val="none" w:sz="0" w:space="0" w:color="auto"/>
        <w:left w:val="none" w:sz="0" w:space="0" w:color="auto"/>
        <w:bottom w:val="none" w:sz="0" w:space="0" w:color="auto"/>
        <w:right w:val="none" w:sz="0" w:space="0" w:color="auto"/>
      </w:divBdr>
    </w:div>
    <w:div w:id="340278663">
      <w:bodyDiv w:val="1"/>
      <w:marLeft w:val="0"/>
      <w:marRight w:val="0"/>
      <w:marTop w:val="0"/>
      <w:marBottom w:val="0"/>
      <w:divBdr>
        <w:top w:val="none" w:sz="0" w:space="0" w:color="auto"/>
        <w:left w:val="none" w:sz="0" w:space="0" w:color="auto"/>
        <w:bottom w:val="none" w:sz="0" w:space="0" w:color="auto"/>
        <w:right w:val="none" w:sz="0" w:space="0" w:color="auto"/>
      </w:divBdr>
    </w:div>
    <w:div w:id="378284064">
      <w:bodyDiv w:val="1"/>
      <w:marLeft w:val="0"/>
      <w:marRight w:val="0"/>
      <w:marTop w:val="0"/>
      <w:marBottom w:val="0"/>
      <w:divBdr>
        <w:top w:val="none" w:sz="0" w:space="0" w:color="auto"/>
        <w:left w:val="none" w:sz="0" w:space="0" w:color="auto"/>
        <w:bottom w:val="none" w:sz="0" w:space="0" w:color="auto"/>
        <w:right w:val="none" w:sz="0" w:space="0" w:color="auto"/>
      </w:divBdr>
    </w:div>
    <w:div w:id="379137434">
      <w:bodyDiv w:val="1"/>
      <w:marLeft w:val="0"/>
      <w:marRight w:val="0"/>
      <w:marTop w:val="0"/>
      <w:marBottom w:val="0"/>
      <w:divBdr>
        <w:top w:val="none" w:sz="0" w:space="0" w:color="auto"/>
        <w:left w:val="none" w:sz="0" w:space="0" w:color="auto"/>
        <w:bottom w:val="none" w:sz="0" w:space="0" w:color="auto"/>
        <w:right w:val="none" w:sz="0" w:space="0" w:color="auto"/>
      </w:divBdr>
    </w:div>
    <w:div w:id="394015979">
      <w:bodyDiv w:val="1"/>
      <w:marLeft w:val="0"/>
      <w:marRight w:val="0"/>
      <w:marTop w:val="0"/>
      <w:marBottom w:val="0"/>
      <w:divBdr>
        <w:top w:val="none" w:sz="0" w:space="0" w:color="auto"/>
        <w:left w:val="none" w:sz="0" w:space="0" w:color="auto"/>
        <w:bottom w:val="none" w:sz="0" w:space="0" w:color="auto"/>
        <w:right w:val="none" w:sz="0" w:space="0" w:color="auto"/>
      </w:divBdr>
    </w:div>
    <w:div w:id="394158664">
      <w:bodyDiv w:val="1"/>
      <w:marLeft w:val="0"/>
      <w:marRight w:val="0"/>
      <w:marTop w:val="0"/>
      <w:marBottom w:val="0"/>
      <w:divBdr>
        <w:top w:val="none" w:sz="0" w:space="0" w:color="auto"/>
        <w:left w:val="none" w:sz="0" w:space="0" w:color="auto"/>
        <w:bottom w:val="none" w:sz="0" w:space="0" w:color="auto"/>
        <w:right w:val="none" w:sz="0" w:space="0" w:color="auto"/>
      </w:divBdr>
    </w:div>
    <w:div w:id="409160273">
      <w:bodyDiv w:val="1"/>
      <w:marLeft w:val="0"/>
      <w:marRight w:val="0"/>
      <w:marTop w:val="0"/>
      <w:marBottom w:val="0"/>
      <w:divBdr>
        <w:top w:val="none" w:sz="0" w:space="0" w:color="auto"/>
        <w:left w:val="none" w:sz="0" w:space="0" w:color="auto"/>
        <w:bottom w:val="none" w:sz="0" w:space="0" w:color="auto"/>
        <w:right w:val="none" w:sz="0" w:space="0" w:color="auto"/>
      </w:divBdr>
    </w:div>
    <w:div w:id="409234676">
      <w:bodyDiv w:val="1"/>
      <w:marLeft w:val="0"/>
      <w:marRight w:val="0"/>
      <w:marTop w:val="0"/>
      <w:marBottom w:val="0"/>
      <w:divBdr>
        <w:top w:val="none" w:sz="0" w:space="0" w:color="auto"/>
        <w:left w:val="none" w:sz="0" w:space="0" w:color="auto"/>
        <w:bottom w:val="none" w:sz="0" w:space="0" w:color="auto"/>
        <w:right w:val="none" w:sz="0" w:space="0" w:color="auto"/>
      </w:divBdr>
    </w:div>
    <w:div w:id="421026777">
      <w:bodyDiv w:val="1"/>
      <w:marLeft w:val="0"/>
      <w:marRight w:val="0"/>
      <w:marTop w:val="0"/>
      <w:marBottom w:val="0"/>
      <w:divBdr>
        <w:top w:val="none" w:sz="0" w:space="0" w:color="auto"/>
        <w:left w:val="none" w:sz="0" w:space="0" w:color="auto"/>
        <w:bottom w:val="none" w:sz="0" w:space="0" w:color="auto"/>
        <w:right w:val="none" w:sz="0" w:space="0" w:color="auto"/>
      </w:divBdr>
    </w:div>
    <w:div w:id="424612345">
      <w:bodyDiv w:val="1"/>
      <w:marLeft w:val="0"/>
      <w:marRight w:val="0"/>
      <w:marTop w:val="0"/>
      <w:marBottom w:val="0"/>
      <w:divBdr>
        <w:top w:val="none" w:sz="0" w:space="0" w:color="auto"/>
        <w:left w:val="none" w:sz="0" w:space="0" w:color="auto"/>
        <w:bottom w:val="none" w:sz="0" w:space="0" w:color="auto"/>
        <w:right w:val="none" w:sz="0" w:space="0" w:color="auto"/>
      </w:divBdr>
    </w:div>
    <w:div w:id="428239728">
      <w:bodyDiv w:val="1"/>
      <w:marLeft w:val="0"/>
      <w:marRight w:val="0"/>
      <w:marTop w:val="0"/>
      <w:marBottom w:val="0"/>
      <w:divBdr>
        <w:top w:val="none" w:sz="0" w:space="0" w:color="auto"/>
        <w:left w:val="none" w:sz="0" w:space="0" w:color="auto"/>
        <w:bottom w:val="none" w:sz="0" w:space="0" w:color="auto"/>
        <w:right w:val="none" w:sz="0" w:space="0" w:color="auto"/>
      </w:divBdr>
    </w:div>
    <w:div w:id="452985085">
      <w:bodyDiv w:val="1"/>
      <w:marLeft w:val="0"/>
      <w:marRight w:val="0"/>
      <w:marTop w:val="0"/>
      <w:marBottom w:val="0"/>
      <w:divBdr>
        <w:top w:val="none" w:sz="0" w:space="0" w:color="auto"/>
        <w:left w:val="none" w:sz="0" w:space="0" w:color="auto"/>
        <w:bottom w:val="none" w:sz="0" w:space="0" w:color="auto"/>
        <w:right w:val="none" w:sz="0" w:space="0" w:color="auto"/>
      </w:divBdr>
    </w:div>
    <w:div w:id="454327277">
      <w:bodyDiv w:val="1"/>
      <w:marLeft w:val="0"/>
      <w:marRight w:val="0"/>
      <w:marTop w:val="0"/>
      <w:marBottom w:val="0"/>
      <w:divBdr>
        <w:top w:val="none" w:sz="0" w:space="0" w:color="auto"/>
        <w:left w:val="none" w:sz="0" w:space="0" w:color="auto"/>
        <w:bottom w:val="none" w:sz="0" w:space="0" w:color="auto"/>
        <w:right w:val="none" w:sz="0" w:space="0" w:color="auto"/>
      </w:divBdr>
    </w:div>
    <w:div w:id="465779342">
      <w:bodyDiv w:val="1"/>
      <w:marLeft w:val="0"/>
      <w:marRight w:val="0"/>
      <w:marTop w:val="0"/>
      <w:marBottom w:val="0"/>
      <w:divBdr>
        <w:top w:val="none" w:sz="0" w:space="0" w:color="auto"/>
        <w:left w:val="none" w:sz="0" w:space="0" w:color="auto"/>
        <w:bottom w:val="none" w:sz="0" w:space="0" w:color="auto"/>
        <w:right w:val="none" w:sz="0" w:space="0" w:color="auto"/>
      </w:divBdr>
    </w:div>
    <w:div w:id="466827099">
      <w:bodyDiv w:val="1"/>
      <w:marLeft w:val="0"/>
      <w:marRight w:val="0"/>
      <w:marTop w:val="0"/>
      <w:marBottom w:val="0"/>
      <w:divBdr>
        <w:top w:val="none" w:sz="0" w:space="0" w:color="auto"/>
        <w:left w:val="none" w:sz="0" w:space="0" w:color="auto"/>
        <w:bottom w:val="none" w:sz="0" w:space="0" w:color="auto"/>
        <w:right w:val="none" w:sz="0" w:space="0" w:color="auto"/>
      </w:divBdr>
    </w:div>
    <w:div w:id="472449031">
      <w:bodyDiv w:val="1"/>
      <w:marLeft w:val="0"/>
      <w:marRight w:val="0"/>
      <w:marTop w:val="0"/>
      <w:marBottom w:val="0"/>
      <w:divBdr>
        <w:top w:val="none" w:sz="0" w:space="0" w:color="auto"/>
        <w:left w:val="none" w:sz="0" w:space="0" w:color="auto"/>
        <w:bottom w:val="none" w:sz="0" w:space="0" w:color="auto"/>
        <w:right w:val="none" w:sz="0" w:space="0" w:color="auto"/>
      </w:divBdr>
    </w:div>
    <w:div w:id="479545791">
      <w:bodyDiv w:val="1"/>
      <w:marLeft w:val="0"/>
      <w:marRight w:val="0"/>
      <w:marTop w:val="0"/>
      <w:marBottom w:val="0"/>
      <w:divBdr>
        <w:top w:val="none" w:sz="0" w:space="0" w:color="auto"/>
        <w:left w:val="none" w:sz="0" w:space="0" w:color="auto"/>
        <w:bottom w:val="none" w:sz="0" w:space="0" w:color="auto"/>
        <w:right w:val="none" w:sz="0" w:space="0" w:color="auto"/>
      </w:divBdr>
    </w:div>
    <w:div w:id="507447266">
      <w:bodyDiv w:val="1"/>
      <w:marLeft w:val="0"/>
      <w:marRight w:val="0"/>
      <w:marTop w:val="0"/>
      <w:marBottom w:val="0"/>
      <w:divBdr>
        <w:top w:val="none" w:sz="0" w:space="0" w:color="auto"/>
        <w:left w:val="none" w:sz="0" w:space="0" w:color="auto"/>
        <w:bottom w:val="none" w:sz="0" w:space="0" w:color="auto"/>
        <w:right w:val="none" w:sz="0" w:space="0" w:color="auto"/>
      </w:divBdr>
    </w:div>
    <w:div w:id="508059120">
      <w:bodyDiv w:val="1"/>
      <w:marLeft w:val="0"/>
      <w:marRight w:val="0"/>
      <w:marTop w:val="0"/>
      <w:marBottom w:val="0"/>
      <w:divBdr>
        <w:top w:val="none" w:sz="0" w:space="0" w:color="auto"/>
        <w:left w:val="none" w:sz="0" w:space="0" w:color="auto"/>
        <w:bottom w:val="none" w:sz="0" w:space="0" w:color="auto"/>
        <w:right w:val="none" w:sz="0" w:space="0" w:color="auto"/>
      </w:divBdr>
    </w:div>
    <w:div w:id="508368220">
      <w:bodyDiv w:val="1"/>
      <w:marLeft w:val="0"/>
      <w:marRight w:val="0"/>
      <w:marTop w:val="0"/>
      <w:marBottom w:val="0"/>
      <w:divBdr>
        <w:top w:val="none" w:sz="0" w:space="0" w:color="auto"/>
        <w:left w:val="none" w:sz="0" w:space="0" w:color="auto"/>
        <w:bottom w:val="none" w:sz="0" w:space="0" w:color="auto"/>
        <w:right w:val="none" w:sz="0" w:space="0" w:color="auto"/>
      </w:divBdr>
    </w:div>
    <w:div w:id="513417863">
      <w:bodyDiv w:val="1"/>
      <w:marLeft w:val="0"/>
      <w:marRight w:val="0"/>
      <w:marTop w:val="0"/>
      <w:marBottom w:val="0"/>
      <w:divBdr>
        <w:top w:val="none" w:sz="0" w:space="0" w:color="auto"/>
        <w:left w:val="none" w:sz="0" w:space="0" w:color="auto"/>
        <w:bottom w:val="none" w:sz="0" w:space="0" w:color="auto"/>
        <w:right w:val="none" w:sz="0" w:space="0" w:color="auto"/>
      </w:divBdr>
    </w:div>
    <w:div w:id="523322119">
      <w:bodyDiv w:val="1"/>
      <w:marLeft w:val="0"/>
      <w:marRight w:val="0"/>
      <w:marTop w:val="0"/>
      <w:marBottom w:val="0"/>
      <w:divBdr>
        <w:top w:val="none" w:sz="0" w:space="0" w:color="auto"/>
        <w:left w:val="none" w:sz="0" w:space="0" w:color="auto"/>
        <w:bottom w:val="none" w:sz="0" w:space="0" w:color="auto"/>
        <w:right w:val="none" w:sz="0" w:space="0" w:color="auto"/>
      </w:divBdr>
    </w:div>
    <w:div w:id="531038991">
      <w:bodyDiv w:val="1"/>
      <w:marLeft w:val="0"/>
      <w:marRight w:val="0"/>
      <w:marTop w:val="0"/>
      <w:marBottom w:val="0"/>
      <w:divBdr>
        <w:top w:val="none" w:sz="0" w:space="0" w:color="auto"/>
        <w:left w:val="none" w:sz="0" w:space="0" w:color="auto"/>
        <w:bottom w:val="none" w:sz="0" w:space="0" w:color="auto"/>
        <w:right w:val="none" w:sz="0" w:space="0" w:color="auto"/>
      </w:divBdr>
    </w:div>
    <w:div w:id="560991050">
      <w:bodyDiv w:val="1"/>
      <w:marLeft w:val="0"/>
      <w:marRight w:val="0"/>
      <w:marTop w:val="0"/>
      <w:marBottom w:val="0"/>
      <w:divBdr>
        <w:top w:val="none" w:sz="0" w:space="0" w:color="auto"/>
        <w:left w:val="none" w:sz="0" w:space="0" w:color="auto"/>
        <w:bottom w:val="none" w:sz="0" w:space="0" w:color="auto"/>
        <w:right w:val="none" w:sz="0" w:space="0" w:color="auto"/>
      </w:divBdr>
    </w:div>
    <w:div w:id="585653768">
      <w:bodyDiv w:val="1"/>
      <w:marLeft w:val="0"/>
      <w:marRight w:val="0"/>
      <w:marTop w:val="0"/>
      <w:marBottom w:val="0"/>
      <w:divBdr>
        <w:top w:val="none" w:sz="0" w:space="0" w:color="auto"/>
        <w:left w:val="none" w:sz="0" w:space="0" w:color="auto"/>
        <w:bottom w:val="none" w:sz="0" w:space="0" w:color="auto"/>
        <w:right w:val="none" w:sz="0" w:space="0" w:color="auto"/>
      </w:divBdr>
    </w:div>
    <w:div w:id="591933286">
      <w:bodyDiv w:val="1"/>
      <w:marLeft w:val="0"/>
      <w:marRight w:val="0"/>
      <w:marTop w:val="0"/>
      <w:marBottom w:val="0"/>
      <w:divBdr>
        <w:top w:val="none" w:sz="0" w:space="0" w:color="auto"/>
        <w:left w:val="none" w:sz="0" w:space="0" w:color="auto"/>
        <w:bottom w:val="none" w:sz="0" w:space="0" w:color="auto"/>
        <w:right w:val="none" w:sz="0" w:space="0" w:color="auto"/>
      </w:divBdr>
    </w:div>
    <w:div w:id="659964732">
      <w:bodyDiv w:val="1"/>
      <w:marLeft w:val="0"/>
      <w:marRight w:val="0"/>
      <w:marTop w:val="0"/>
      <w:marBottom w:val="0"/>
      <w:divBdr>
        <w:top w:val="none" w:sz="0" w:space="0" w:color="auto"/>
        <w:left w:val="none" w:sz="0" w:space="0" w:color="auto"/>
        <w:bottom w:val="none" w:sz="0" w:space="0" w:color="auto"/>
        <w:right w:val="none" w:sz="0" w:space="0" w:color="auto"/>
      </w:divBdr>
    </w:div>
    <w:div w:id="661276742">
      <w:bodyDiv w:val="1"/>
      <w:marLeft w:val="0"/>
      <w:marRight w:val="0"/>
      <w:marTop w:val="0"/>
      <w:marBottom w:val="0"/>
      <w:divBdr>
        <w:top w:val="none" w:sz="0" w:space="0" w:color="auto"/>
        <w:left w:val="none" w:sz="0" w:space="0" w:color="auto"/>
        <w:bottom w:val="none" w:sz="0" w:space="0" w:color="auto"/>
        <w:right w:val="none" w:sz="0" w:space="0" w:color="auto"/>
      </w:divBdr>
    </w:div>
    <w:div w:id="703480878">
      <w:bodyDiv w:val="1"/>
      <w:marLeft w:val="0"/>
      <w:marRight w:val="0"/>
      <w:marTop w:val="0"/>
      <w:marBottom w:val="0"/>
      <w:divBdr>
        <w:top w:val="none" w:sz="0" w:space="0" w:color="auto"/>
        <w:left w:val="none" w:sz="0" w:space="0" w:color="auto"/>
        <w:bottom w:val="none" w:sz="0" w:space="0" w:color="auto"/>
        <w:right w:val="none" w:sz="0" w:space="0" w:color="auto"/>
      </w:divBdr>
    </w:div>
    <w:div w:id="708266715">
      <w:bodyDiv w:val="1"/>
      <w:marLeft w:val="0"/>
      <w:marRight w:val="0"/>
      <w:marTop w:val="0"/>
      <w:marBottom w:val="0"/>
      <w:divBdr>
        <w:top w:val="none" w:sz="0" w:space="0" w:color="auto"/>
        <w:left w:val="none" w:sz="0" w:space="0" w:color="auto"/>
        <w:bottom w:val="none" w:sz="0" w:space="0" w:color="auto"/>
        <w:right w:val="none" w:sz="0" w:space="0" w:color="auto"/>
      </w:divBdr>
    </w:div>
    <w:div w:id="719204251">
      <w:bodyDiv w:val="1"/>
      <w:marLeft w:val="0"/>
      <w:marRight w:val="0"/>
      <w:marTop w:val="0"/>
      <w:marBottom w:val="0"/>
      <w:divBdr>
        <w:top w:val="none" w:sz="0" w:space="0" w:color="auto"/>
        <w:left w:val="none" w:sz="0" w:space="0" w:color="auto"/>
        <w:bottom w:val="none" w:sz="0" w:space="0" w:color="auto"/>
        <w:right w:val="none" w:sz="0" w:space="0" w:color="auto"/>
      </w:divBdr>
    </w:div>
    <w:div w:id="734622594">
      <w:bodyDiv w:val="1"/>
      <w:marLeft w:val="0"/>
      <w:marRight w:val="0"/>
      <w:marTop w:val="0"/>
      <w:marBottom w:val="0"/>
      <w:divBdr>
        <w:top w:val="none" w:sz="0" w:space="0" w:color="auto"/>
        <w:left w:val="none" w:sz="0" w:space="0" w:color="auto"/>
        <w:bottom w:val="none" w:sz="0" w:space="0" w:color="auto"/>
        <w:right w:val="none" w:sz="0" w:space="0" w:color="auto"/>
      </w:divBdr>
    </w:div>
    <w:div w:id="739786546">
      <w:bodyDiv w:val="1"/>
      <w:marLeft w:val="0"/>
      <w:marRight w:val="0"/>
      <w:marTop w:val="0"/>
      <w:marBottom w:val="0"/>
      <w:divBdr>
        <w:top w:val="none" w:sz="0" w:space="0" w:color="auto"/>
        <w:left w:val="none" w:sz="0" w:space="0" w:color="auto"/>
        <w:bottom w:val="none" w:sz="0" w:space="0" w:color="auto"/>
        <w:right w:val="none" w:sz="0" w:space="0" w:color="auto"/>
      </w:divBdr>
    </w:div>
    <w:div w:id="761994453">
      <w:bodyDiv w:val="1"/>
      <w:marLeft w:val="0"/>
      <w:marRight w:val="0"/>
      <w:marTop w:val="0"/>
      <w:marBottom w:val="0"/>
      <w:divBdr>
        <w:top w:val="none" w:sz="0" w:space="0" w:color="auto"/>
        <w:left w:val="none" w:sz="0" w:space="0" w:color="auto"/>
        <w:bottom w:val="none" w:sz="0" w:space="0" w:color="auto"/>
        <w:right w:val="none" w:sz="0" w:space="0" w:color="auto"/>
      </w:divBdr>
    </w:div>
    <w:div w:id="782071670">
      <w:bodyDiv w:val="1"/>
      <w:marLeft w:val="0"/>
      <w:marRight w:val="0"/>
      <w:marTop w:val="0"/>
      <w:marBottom w:val="0"/>
      <w:divBdr>
        <w:top w:val="none" w:sz="0" w:space="0" w:color="auto"/>
        <w:left w:val="none" w:sz="0" w:space="0" w:color="auto"/>
        <w:bottom w:val="none" w:sz="0" w:space="0" w:color="auto"/>
        <w:right w:val="none" w:sz="0" w:space="0" w:color="auto"/>
      </w:divBdr>
    </w:div>
    <w:div w:id="785542958">
      <w:bodyDiv w:val="1"/>
      <w:marLeft w:val="0"/>
      <w:marRight w:val="0"/>
      <w:marTop w:val="0"/>
      <w:marBottom w:val="0"/>
      <w:divBdr>
        <w:top w:val="none" w:sz="0" w:space="0" w:color="auto"/>
        <w:left w:val="none" w:sz="0" w:space="0" w:color="auto"/>
        <w:bottom w:val="none" w:sz="0" w:space="0" w:color="auto"/>
        <w:right w:val="none" w:sz="0" w:space="0" w:color="auto"/>
      </w:divBdr>
    </w:div>
    <w:div w:id="821122160">
      <w:bodyDiv w:val="1"/>
      <w:marLeft w:val="0"/>
      <w:marRight w:val="0"/>
      <w:marTop w:val="0"/>
      <w:marBottom w:val="0"/>
      <w:divBdr>
        <w:top w:val="none" w:sz="0" w:space="0" w:color="auto"/>
        <w:left w:val="none" w:sz="0" w:space="0" w:color="auto"/>
        <w:bottom w:val="none" w:sz="0" w:space="0" w:color="auto"/>
        <w:right w:val="none" w:sz="0" w:space="0" w:color="auto"/>
      </w:divBdr>
    </w:div>
    <w:div w:id="861364434">
      <w:bodyDiv w:val="1"/>
      <w:marLeft w:val="0"/>
      <w:marRight w:val="0"/>
      <w:marTop w:val="0"/>
      <w:marBottom w:val="0"/>
      <w:divBdr>
        <w:top w:val="none" w:sz="0" w:space="0" w:color="auto"/>
        <w:left w:val="none" w:sz="0" w:space="0" w:color="auto"/>
        <w:bottom w:val="none" w:sz="0" w:space="0" w:color="auto"/>
        <w:right w:val="none" w:sz="0" w:space="0" w:color="auto"/>
      </w:divBdr>
    </w:div>
    <w:div w:id="865487433">
      <w:bodyDiv w:val="1"/>
      <w:marLeft w:val="0"/>
      <w:marRight w:val="0"/>
      <w:marTop w:val="0"/>
      <w:marBottom w:val="0"/>
      <w:divBdr>
        <w:top w:val="none" w:sz="0" w:space="0" w:color="auto"/>
        <w:left w:val="none" w:sz="0" w:space="0" w:color="auto"/>
        <w:bottom w:val="none" w:sz="0" w:space="0" w:color="auto"/>
        <w:right w:val="none" w:sz="0" w:space="0" w:color="auto"/>
      </w:divBdr>
    </w:div>
    <w:div w:id="867720800">
      <w:bodyDiv w:val="1"/>
      <w:marLeft w:val="0"/>
      <w:marRight w:val="0"/>
      <w:marTop w:val="0"/>
      <w:marBottom w:val="0"/>
      <w:divBdr>
        <w:top w:val="none" w:sz="0" w:space="0" w:color="auto"/>
        <w:left w:val="none" w:sz="0" w:space="0" w:color="auto"/>
        <w:bottom w:val="none" w:sz="0" w:space="0" w:color="auto"/>
        <w:right w:val="none" w:sz="0" w:space="0" w:color="auto"/>
      </w:divBdr>
    </w:div>
    <w:div w:id="881985187">
      <w:bodyDiv w:val="1"/>
      <w:marLeft w:val="0"/>
      <w:marRight w:val="0"/>
      <w:marTop w:val="0"/>
      <w:marBottom w:val="0"/>
      <w:divBdr>
        <w:top w:val="none" w:sz="0" w:space="0" w:color="auto"/>
        <w:left w:val="none" w:sz="0" w:space="0" w:color="auto"/>
        <w:bottom w:val="none" w:sz="0" w:space="0" w:color="auto"/>
        <w:right w:val="none" w:sz="0" w:space="0" w:color="auto"/>
      </w:divBdr>
    </w:div>
    <w:div w:id="899946141">
      <w:bodyDiv w:val="1"/>
      <w:marLeft w:val="0"/>
      <w:marRight w:val="0"/>
      <w:marTop w:val="0"/>
      <w:marBottom w:val="0"/>
      <w:divBdr>
        <w:top w:val="none" w:sz="0" w:space="0" w:color="auto"/>
        <w:left w:val="none" w:sz="0" w:space="0" w:color="auto"/>
        <w:bottom w:val="none" w:sz="0" w:space="0" w:color="auto"/>
        <w:right w:val="none" w:sz="0" w:space="0" w:color="auto"/>
      </w:divBdr>
    </w:div>
    <w:div w:id="916091788">
      <w:bodyDiv w:val="1"/>
      <w:marLeft w:val="0"/>
      <w:marRight w:val="0"/>
      <w:marTop w:val="0"/>
      <w:marBottom w:val="0"/>
      <w:divBdr>
        <w:top w:val="none" w:sz="0" w:space="0" w:color="auto"/>
        <w:left w:val="none" w:sz="0" w:space="0" w:color="auto"/>
        <w:bottom w:val="none" w:sz="0" w:space="0" w:color="auto"/>
        <w:right w:val="none" w:sz="0" w:space="0" w:color="auto"/>
      </w:divBdr>
    </w:div>
    <w:div w:id="916137928">
      <w:bodyDiv w:val="1"/>
      <w:marLeft w:val="0"/>
      <w:marRight w:val="0"/>
      <w:marTop w:val="0"/>
      <w:marBottom w:val="0"/>
      <w:divBdr>
        <w:top w:val="none" w:sz="0" w:space="0" w:color="auto"/>
        <w:left w:val="none" w:sz="0" w:space="0" w:color="auto"/>
        <w:bottom w:val="none" w:sz="0" w:space="0" w:color="auto"/>
        <w:right w:val="none" w:sz="0" w:space="0" w:color="auto"/>
      </w:divBdr>
    </w:div>
    <w:div w:id="923798624">
      <w:bodyDiv w:val="1"/>
      <w:marLeft w:val="0"/>
      <w:marRight w:val="0"/>
      <w:marTop w:val="0"/>
      <w:marBottom w:val="0"/>
      <w:divBdr>
        <w:top w:val="none" w:sz="0" w:space="0" w:color="auto"/>
        <w:left w:val="none" w:sz="0" w:space="0" w:color="auto"/>
        <w:bottom w:val="none" w:sz="0" w:space="0" w:color="auto"/>
        <w:right w:val="none" w:sz="0" w:space="0" w:color="auto"/>
      </w:divBdr>
    </w:div>
    <w:div w:id="929964799">
      <w:bodyDiv w:val="1"/>
      <w:marLeft w:val="0"/>
      <w:marRight w:val="0"/>
      <w:marTop w:val="0"/>
      <w:marBottom w:val="0"/>
      <w:divBdr>
        <w:top w:val="none" w:sz="0" w:space="0" w:color="auto"/>
        <w:left w:val="none" w:sz="0" w:space="0" w:color="auto"/>
        <w:bottom w:val="none" w:sz="0" w:space="0" w:color="auto"/>
        <w:right w:val="none" w:sz="0" w:space="0" w:color="auto"/>
      </w:divBdr>
    </w:div>
    <w:div w:id="934020993">
      <w:bodyDiv w:val="1"/>
      <w:marLeft w:val="0"/>
      <w:marRight w:val="0"/>
      <w:marTop w:val="0"/>
      <w:marBottom w:val="0"/>
      <w:divBdr>
        <w:top w:val="none" w:sz="0" w:space="0" w:color="auto"/>
        <w:left w:val="none" w:sz="0" w:space="0" w:color="auto"/>
        <w:bottom w:val="none" w:sz="0" w:space="0" w:color="auto"/>
        <w:right w:val="none" w:sz="0" w:space="0" w:color="auto"/>
      </w:divBdr>
    </w:div>
    <w:div w:id="946620070">
      <w:bodyDiv w:val="1"/>
      <w:marLeft w:val="0"/>
      <w:marRight w:val="0"/>
      <w:marTop w:val="0"/>
      <w:marBottom w:val="0"/>
      <w:divBdr>
        <w:top w:val="none" w:sz="0" w:space="0" w:color="auto"/>
        <w:left w:val="none" w:sz="0" w:space="0" w:color="auto"/>
        <w:bottom w:val="none" w:sz="0" w:space="0" w:color="auto"/>
        <w:right w:val="none" w:sz="0" w:space="0" w:color="auto"/>
      </w:divBdr>
    </w:div>
    <w:div w:id="946623249">
      <w:bodyDiv w:val="1"/>
      <w:marLeft w:val="0"/>
      <w:marRight w:val="0"/>
      <w:marTop w:val="0"/>
      <w:marBottom w:val="0"/>
      <w:divBdr>
        <w:top w:val="none" w:sz="0" w:space="0" w:color="auto"/>
        <w:left w:val="none" w:sz="0" w:space="0" w:color="auto"/>
        <w:bottom w:val="none" w:sz="0" w:space="0" w:color="auto"/>
        <w:right w:val="none" w:sz="0" w:space="0" w:color="auto"/>
      </w:divBdr>
    </w:div>
    <w:div w:id="949973241">
      <w:bodyDiv w:val="1"/>
      <w:marLeft w:val="0"/>
      <w:marRight w:val="0"/>
      <w:marTop w:val="0"/>
      <w:marBottom w:val="0"/>
      <w:divBdr>
        <w:top w:val="none" w:sz="0" w:space="0" w:color="auto"/>
        <w:left w:val="none" w:sz="0" w:space="0" w:color="auto"/>
        <w:bottom w:val="none" w:sz="0" w:space="0" w:color="auto"/>
        <w:right w:val="none" w:sz="0" w:space="0" w:color="auto"/>
      </w:divBdr>
    </w:div>
    <w:div w:id="962810153">
      <w:bodyDiv w:val="1"/>
      <w:marLeft w:val="0"/>
      <w:marRight w:val="0"/>
      <w:marTop w:val="0"/>
      <w:marBottom w:val="0"/>
      <w:divBdr>
        <w:top w:val="none" w:sz="0" w:space="0" w:color="auto"/>
        <w:left w:val="none" w:sz="0" w:space="0" w:color="auto"/>
        <w:bottom w:val="none" w:sz="0" w:space="0" w:color="auto"/>
        <w:right w:val="none" w:sz="0" w:space="0" w:color="auto"/>
      </w:divBdr>
    </w:div>
    <w:div w:id="999700473">
      <w:bodyDiv w:val="1"/>
      <w:marLeft w:val="0"/>
      <w:marRight w:val="0"/>
      <w:marTop w:val="0"/>
      <w:marBottom w:val="0"/>
      <w:divBdr>
        <w:top w:val="none" w:sz="0" w:space="0" w:color="auto"/>
        <w:left w:val="none" w:sz="0" w:space="0" w:color="auto"/>
        <w:bottom w:val="none" w:sz="0" w:space="0" w:color="auto"/>
        <w:right w:val="none" w:sz="0" w:space="0" w:color="auto"/>
      </w:divBdr>
    </w:div>
    <w:div w:id="1044448817">
      <w:bodyDiv w:val="1"/>
      <w:marLeft w:val="0"/>
      <w:marRight w:val="0"/>
      <w:marTop w:val="0"/>
      <w:marBottom w:val="0"/>
      <w:divBdr>
        <w:top w:val="none" w:sz="0" w:space="0" w:color="auto"/>
        <w:left w:val="none" w:sz="0" w:space="0" w:color="auto"/>
        <w:bottom w:val="none" w:sz="0" w:space="0" w:color="auto"/>
        <w:right w:val="none" w:sz="0" w:space="0" w:color="auto"/>
      </w:divBdr>
    </w:div>
    <w:div w:id="1055736707">
      <w:bodyDiv w:val="1"/>
      <w:marLeft w:val="0"/>
      <w:marRight w:val="0"/>
      <w:marTop w:val="0"/>
      <w:marBottom w:val="0"/>
      <w:divBdr>
        <w:top w:val="none" w:sz="0" w:space="0" w:color="auto"/>
        <w:left w:val="none" w:sz="0" w:space="0" w:color="auto"/>
        <w:bottom w:val="none" w:sz="0" w:space="0" w:color="auto"/>
        <w:right w:val="none" w:sz="0" w:space="0" w:color="auto"/>
      </w:divBdr>
    </w:div>
    <w:div w:id="1067875068">
      <w:bodyDiv w:val="1"/>
      <w:marLeft w:val="0"/>
      <w:marRight w:val="0"/>
      <w:marTop w:val="0"/>
      <w:marBottom w:val="0"/>
      <w:divBdr>
        <w:top w:val="none" w:sz="0" w:space="0" w:color="auto"/>
        <w:left w:val="none" w:sz="0" w:space="0" w:color="auto"/>
        <w:bottom w:val="none" w:sz="0" w:space="0" w:color="auto"/>
        <w:right w:val="none" w:sz="0" w:space="0" w:color="auto"/>
      </w:divBdr>
    </w:div>
    <w:div w:id="1074356376">
      <w:bodyDiv w:val="1"/>
      <w:marLeft w:val="0"/>
      <w:marRight w:val="0"/>
      <w:marTop w:val="0"/>
      <w:marBottom w:val="0"/>
      <w:divBdr>
        <w:top w:val="none" w:sz="0" w:space="0" w:color="auto"/>
        <w:left w:val="none" w:sz="0" w:space="0" w:color="auto"/>
        <w:bottom w:val="none" w:sz="0" w:space="0" w:color="auto"/>
        <w:right w:val="none" w:sz="0" w:space="0" w:color="auto"/>
      </w:divBdr>
    </w:div>
    <w:div w:id="1081559086">
      <w:bodyDiv w:val="1"/>
      <w:marLeft w:val="0"/>
      <w:marRight w:val="0"/>
      <w:marTop w:val="0"/>
      <w:marBottom w:val="0"/>
      <w:divBdr>
        <w:top w:val="none" w:sz="0" w:space="0" w:color="auto"/>
        <w:left w:val="none" w:sz="0" w:space="0" w:color="auto"/>
        <w:bottom w:val="none" w:sz="0" w:space="0" w:color="auto"/>
        <w:right w:val="none" w:sz="0" w:space="0" w:color="auto"/>
      </w:divBdr>
    </w:div>
    <w:div w:id="1107820883">
      <w:bodyDiv w:val="1"/>
      <w:marLeft w:val="0"/>
      <w:marRight w:val="0"/>
      <w:marTop w:val="0"/>
      <w:marBottom w:val="0"/>
      <w:divBdr>
        <w:top w:val="none" w:sz="0" w:space="0" w:color="auto"/>
        <w:left w:val="none" w:sz="0" w:space="0" w:color="auto"/>
        <w:bottom w:val="none" w:sz="0" w:space="0" w:color="auto"/>
        <w:right w:val="none" w:sz="0" w:space="0" w:color="auto"/>
      </w:divBdr>
    </w:div>
    <w:div w:id="1130511583">
      <w:bodyDiv w:val="1"/>
      <w:marLeft w:val="0"/>
      <w:marRight w:val="0"/>
      <w:marTop w:val="0"/>
      <w:marBottom w:val="0"/>
      <w:divBdr>
        <w:top w:val="none" w:sz="0" w:space="0" w:color="auto"/>
        <w:left w:val="none" w:sz="0" w:space="0" w:color="auto"/>
        <w:bottom w:val="none" w:sz="0" w:space="0" w:color="auto"/>
        <w:right w:val="none" w:sz="0" w:space="0" w:color="auto"/>
      </w:divBdr>
    </w:div>
    <w:div w:id="1145123815">
      <w:bodyDiv w:val="1"/>
      <w:marLeft w:val="0"/>
      <w:marRight w:val="0"/>
      <w:marTop w:val="0"/>
      <w:marBottom w:val="0"/>
      <w:divBdr>
        <w:top w:val="none" w:sz="0" w:space="0" w:color="auto"/>
        <w:left w:val="none" w:sz="0" w:space="0" w:color="auto"/>
        <w:bottom w:val="none" w:sz="0" w:space="0" w:color="auto"/>
        <w:right w:val="none" w:sz="0" w:space="0" w:color="auto"/>
      </w:divBdr>
    </w:div>
    <w:div w:id="1150289791">
      <w:bodyDiv w:val="1"/>
      <w:marLeft w:val="0"/>
      <w:marRight w:val="0"/>
      <w:marTop w:val="0"/>
      <w:marBottom w:val="0"/>
      <w:divBdr>
        <w:top w:val="none" w:sz="0" w:space="0" w:color="auto"/>
        <w:left w:val="none" w:sz="0" w:space="0" w:color="auto"/>
        <w:bottom w:val="none" w:sz="0" w:space="0" w:color="auto"/>
        <w:right w:val="none" w:sz="0" w:space="0" w:color="auto"/>
      </w:divBdr>
    </w:div>
    <w:div w:id="1188719942">
      <w:bodyDiv w:val="1"/>
      <w:marLeft w:val="0"/>
      <w:marRight w:val="0"/>
      <w:marTop w:val="0"/>
      <w:marBottom w:val="0"/>
      <w:divBdr>
        <w:top w:val="none" w:sz="0" w:space="0" w:color="auto"/>
        <w:left w:val="none" w:sz="0" w:space="0" w:color="auto"/>
        <w:bottom w:val="none" w:sz="0" w:space="0" w:color="auto"/>
        <w:right w:val="none" w:sz="0" w:space="0" w:color="auto"/>
      </w:divBdr>
    </w:div>
    <w:div w:id="1190265669">
      <w:bodyDiv w:val="1"/>
      <w:marLeft w:val="0"/>
      <w:marRight w:val="0"/>
      <w:marTop w:val="0"/>
      <w:marBottom w:val="0"/>
      <w:divBdr>
        <w:top w:val="none" w:sz="0" w:space="0" w:color="auto"/>
        <w:left w:val="none" w:sz="0" w:space="0" w:color="auto"/>
        <w:bottom w:val="none" w:sz="0" w:space="0" w:color="auto"/>
        <w:right w:val="none" w:sz="0" w:space="0" w:color="auto"/>
      </w:divBdr>
    </w:div>
    <w:div w:id="1198548271">
      <w:bodyDiv w:val="1"/>
      <w:marLeft w:val="0"/>
      <w:marRight w:val="0"/>
      <w:marTop w:val="0"/>
      <w:marBottom w:val="0"/>
      <w:divBdr>
        <w:top w:val="none" w:sz="0" w:space="0" w:color="auto"/>
        <w:left w:val="none" w:sz="0" w:space="0" w:color="auto"/>
        <w:bottom w:val="none" w:sz="0" w:space="0" w:color="auto"/>
        <w:right w:val="none" w:sz="0" w:space="0" w:color="auto"/>
      </w:divBdr>
    </w:div>
    <w:div w:id="1218667929">
      <w:bodyDiv w:val="1"/>
      <w:marLeft w:val="0"/>
      <w:marRight w:val="0"/>
      <w:marTop w:val="0"/>
      <w:marBottom w:val="0"/>
      <w:divBdr>
        <w:top w:val="none" w:sz="0" w:space="0" w:color="auto"/>
        <w:left w:val="none" w:sz="0" w:space="0" w:color="auto"/>
        <w:bottom w:val="none" w:sz="0" w:space="0" w:color="auto"/>
        <w:right w:val="none" w:sz="0" w:space="0" w:color="auto"/>
      </w:divBdr>
    </w:div>
    <w:div w:id="1223567204">
      <w:bodyDiv w:val="1"/>
      <w:marLeft w:val="0"/>
      <w:marRight w:val="0"/>
      <w:marTop w:val="0"/>
      <w:marBottom w:val="0"/>
      <w:divBdr>
        <w:top w:val="none" w:sz="0" w:space="0" w:color="auto"/>
        <w:left w:val="none" w:sz="0" w:space="0" w:color="auto"/>
        <w:bottom w:val="none" w:sz="0" w:space="0" w:color="auto"/>
        <w:right w:val="none" w:sz="0" w:space="0" w:color="auto"/>
      </w:divBdr>
    </w:div>
    <w:div w:id="1230310157">
      <w:bodyDiv w:val="1"/>
      <w:marLeft w:val="0"/>
      <w:marRight w:val="0"/>
      <w:marTop w:val="0"/>
      <w:marBottom w:val="0"/>
      <w:divBdr>
        <w:top w:val="none" w:sz="0" w:space="0" w:color="auto"/>
        <w:left w:val="none" w:sz="0" w:space="0" w:color="auto"/>
        <w:bottom w:val="none" w:sz="0" w:space="0" w:color="auto"/>
        <w:right w:val="none" w:sz="0" w:space="0" w:color="auto"/>
      </w:divBdr>
    </w:div>
    <w:div w:id="1274821703">
      <w:bodyDiv w:val="1"/>
      <w:marLeft w:val="0"/>
      <w:marRight w:val="0"/>
      <w:marTop w:val="0"/>
      <w:marBottom w:val="0"/>
      <w:divBdr>
        <w:top w:val="none" w:sz="0" w:space="0" w:color="auto"/>
        <w:left w:val="none" w:sz="0" w:space="0" w:color="auto"/>
        <w:bottom w:val="none" w:sz="0" w:space="0" w:color="auto"/>
        <w:right w:val="none" w:sz="0" w:space="0" w:color="auto"/>
      </w:divBdr>
      <w:divsChild>
        <w:div w:id="1773743392">
          <w:marLeft w:val="0"/>
          <w:marRight w:val="0"/>
          <w:marTop w:val="480"/>
          <w:marBottom w:val="240"/>
          <w:divBdr>
            <w:top w:val="none" w:sz="0" w:space="0" w:color="auto"/>
            <w:left w:val="none" w:sz="0" w:space="0" w:color="auto"/>
            <w:bottom w:val="none" w:sz="0" w:space="0" w:color="auto"/>
            <w:right w:val="none" w:sz="0" w:space="0" w:color="auto"/>
          </w:divBdr>
        </w:div>
        <w:div w:id="756555106">
          <w:marLeft w:val="0"/>
          <w:marRight w:val="0"/>
          <w:marTop w:val="0"/>
          <w:marBottom w:val="567"/>
          <w:divBdr>
            <w:top w:val="none" w:sz="0" w:space="0" w:color="auto"/>
            <w:left w:val="none" w:sz="0" w:space="0" w:color="auto"/>
            <w:bottom w:val="none" w:sz="0" w:space="0" w:color="auto"/>
            <w:right w:val="none" w:sz="0" w:space="0" w:color="auto"/>
          </w:divBdr>
        </w:div>
      </w:divsChild>
    </w:div>
    <w:div w:id="1287005742">
      <w:bodyDiv w:val="1"/>
      <w:marLeft w:val="0"/>
      <w:marRight w:val="0"/>
      <w:marTop w:val="0"/>
      <w:marBottom w:val="0"/>
      <w:divBdr>
        <w:top w:val="none" w:sz="0" w:space="0" w:color="auto"/>
        <w:left w:val="none" w:sz="0" w:space="0" w:color="auto"/>
        <w:bottom w:val="none" w:sz="0" w:space="0" w:color="auto"/>
        <w:right w:val="none" w:sz="0" w:space="0" w:color="auto"/>
      </w:divBdr>
    </w:div>
    <w:div w:id="1305114250">
      <w:bodyDiv w:val="1"/>
      <w:marLeft w:val="0"/>
      <w:marRight w:val="0"/>
      <w:marTop w:val="0"/>
      <w:marBottom w:val="0"/>
      <w:divBdr>
        <w:top w:val="none" w:sz="0" w:space="0" w:color="auto"/>
        <w:left w:val="none" w:sz="0" w:space="0" w:color="auto"/>
        <w:bottom w:val="none" w:sz="0" w:space="0" w:color="auto"/>
        <w:right w:val="none" w:sz="0" w:space="0" w:color="auto"/>
      </w:divBdr>
    </w:div>
    <w:div w:id="1306353399">
      <w:bodyDiv w:val="1"/>
      <w:marLeft w:val="0"/>
      <w:marRight w:val="0"/>
      <w:marTop w:val="0"/>
      <w:marBottom w:val="0"/>
      <w:divBdr>
        <w:top w:val="none" w:sz="0" w:space="0" w:color="auto"/>
        <w:left w:val="none" w:sz="0" w:space="0" w:color="auto"/>
        <w:bottom w:val="none" w:sz="0" w:space="0" w:color="auto"/>
        <w:right w:val="none" w:sz="0" w:space="0" w:color="auto"/>
      </w:divBdr>
    </w:div>
    <w:div w:id="1308052443">
      <w:bodyDiv w:val="1"/>
      <w:marLeft w:val="0"/>
      <w:marRight w:val="0"/>
      <w:marTop w:val="0"/>
      <w:marBottom w:val="0"/>
      <w:divBdr>
        <w:top w:val="none" w:sz="0" w:space="0" w:color="auto"/>
        <w:left w:val="none" w:sz="0" w:space="0" w:color="auto"/>
        <w:bottom w:val="none" w:sz="0" w:space="0" w:color="auto"/>
        <w:right w:val="none" w:sz="0" w:space="0" w:color="auto"/>
      </w:divBdr>
    </w:div>
    <w:div w:id="1331562859">
      <w:bodyDiv w:val="1"/>
      <w:marLeft w:val="0"/>
      <w:marRight w:val="0"/>
      <w:marTop w:val="0"/>
      <w:marBottom w:val="0"/>
      <w:divBdr>
        <w:top w:val="none" w:sz="0" w:space="0" w:color="auto"/>
        <w:left w:val="none" w:sz="0" w:space="0" w:color="auto"/>
        <w:bottom w:val="none" w:sz="0" w:space="0" w:color="auto"/>
        <w:right w:val="none" w:sz="0" w:space="0" w:color="auto"/>
      </w:divBdr>
    </w:div>
    <w:div w:id="1386224885">
      <w:bodyDiv w:val="1"/>
      <w:marLeft w:val="0"/>
      <w:marRight w:val="0"/>
      <w:marTop w:val="0"/>
      <w:marBottom w:val="0"/>
      <w:divBdr>
        <w:top w:val="none" w:sz="0" w:space="0" w:color="auto"/>
        <w:left w:val="none" w:sz="0" w:space="0" w:color="auto"/>
        <w:bottom w:val="none" w:sz="0" w:space="0" w:color="auto"/>
        <w:right w:val="none" w:sz="0" w:space="0" w:color="auto"/>
      </w:divBdr>
    </w:div>
    <w:div w:id="1400976490">
      <w:bodyDiv w:val="1"/>
      <w:marLeft w:val="0"/>
      <w:marRight w:val="0"/>
      <w:marTop w:val="0"/>
      <w:marBottom w:val="0"/>
      <w:divBdr>
        <w:top w:val="none" w:sz="0" w:space="0" w:color="auto"/>
        <w:left w:val="none" w:sz="0" w:space="0" w:color="auto"/>
        <w:bottom w:val="none" w:sz="0" w:space="0" w:color="auto"/>
        <w:right w:val="none" w:sz="0" w:space="0" w:color="auto"/>
      </w:divBdr>
    </w:div>
    <w:div w:id="1401907004">
      <w:bodyDiv w:val="1"/>
      <w:marLeft w:val="0"/>
      <w:marRight w:val="0"/>
      <w:marTop w:val="0"/>
      <w:marBottom w:val="0"/>
      <w:divBdr>
        <w:top w:val="none" w:sz="0" w:space="0" w:color="auto"/>
        <w:left w:val="none" w:sz="0" w:space="0" w:color="auto"/>
        <w:bottom w:val="none" w:sz="0" w:space="0" w:color="auto"/>
        <w:right w:val="none" w:sz="0" w:space="0" w:color="auto"/>
      </w:divBdr>
    </w:div>
    <w:div w:id="1414933022">
      <w:bodyDiv w:val="1"/>
      <w:marLeft w:val="0"/>
      <w:marRight w:val="0"/>
      <w:marTop w:val="0"/>
      <w:marBottom w:val="0"/>
      <w:divBdr>
        <w:top w:val="none" w:sz="0" w:space="0" w:color="auto"/>
        <w:left w:val="none" w:sz="0" w:space="0" w:color="auto"/>
        <w:bottom w:val="none" w:sz="0" w:space="0" w:color="auto"/>
        <w:right w:val="none" w:sz="0" w:space="0" w:color="auto"/>
      </w:divBdr>
    </w:div>
    <w:div w:id="1421217751">
      <w:bodyDiv w:val="1"/>
      <w:marLeft w:val="0"/>
      <w:marRight w:val="0"/>
      <w:marTop w:val="0"/>
      <w:marBottom w:val="0"/>
      <w:divBdr>
        <w:top w:val="none" w:sz="0" w:space="0" w:color="auto"/>
        <w:left w:val="none" w:sz="0" w:space="0" w:color="auto"/>
        <w:bottom w:val="none" w:sz="0" w:space="0" w:color="auto"/>
        <w:right w:val="none" w:sz="0" w:space="0" w:color="auto"/>
      </w:divBdr>
    </w:div>
    <w:div w:id="1423792052">
      <w:bodyDiv w:val="1"/>
      <w:marLeft w:val="0"/>
      <w:marRight w:val="0"/>
      <w:marTop w:val="0"/>
      <w:marBottom w:val="0"/>
      <w:divBdr>
        <w:top w:val="none" w:sz="0" w:space="0" w:color="auto"/>
        <w:left w:val="none" w:sz="0" w:space="0" w:color="auto"/>
        <w:bottom w:val="none" w:sz="0" w:space="0" w:color="auto"/>
        <w:right w:val="none" w:sz="0" w:space="0" w:color="auto"/>
      </w:divBdr>
    </w:div>
    <w:div w:id="1433238655">
      <w:bodyDiv w:val="1"/>
      <w:marLeft w:val="0"/>
      <w:marRight w:val="0"/>
      <w:marTop w:val="0"/>
      <w:marBottom w:val="0"/>
      <w:divBdr>
        <w:top w:val="none" w:sz="0" w:space="0" w:color="auto"/>
        <w:left w:val="none" w:sz="0" w:space="0" w:color="auto"/>
        <w:bottom w:val="none" w:sz="0" w:space="0" w:color="auto"/>
        <w:right w:val="none" w:sz="0" w:space="0" w:color="auto"/>
      </w:divBdr>
    </w:div>
    <w:div w:id="1434130872">
      <w:bodyDiv w:val="1"/>
      <w:marLeft w:val="0"/>
      <w:marRight w:val="0"/>
      <w:marTop w:val="0"/>
      <w:marBottom w:val="0"/>
      <w:divBdr>
        <w:top w:val="none" w:sz="0" w:space="0" w:color="auto"/>
        <w:left w:val="none" w:sz="0" w:space="0" w:color="auto"/>
        <w:bottom w:val="none" w:sz="0" w:space="0" w:color="auto"/>
        <w:right w:val="none" w:sz="0" w:space="0" w:color="auto"/>
      </w:divBdr>
    </w:div>
    <w:div w:id="1437754459">
      <w:bodyDiv w:val="1"/>
      <w:marLeft w:val="0"/>
      <w:marRight w:val="0"/>
      <w:marTop w:val="0"/>
      <w:marBottom w:val="0"/>
      <w:divBdr>
        <w:top w:val="none" w:sz="0" w:space="0" w:color="auto"/>
        <w:left w:val="none" w:sz="0" w:space="0" w:color="auto"/>
        <w:bottom w:val="none" w:sz="0" w:space="0" w:color="auto"/>
        <w:right w:val="none" w:sz="0" w:space="0" w:color="auto"/>
      </w:divBdr>
    </w:div>
    <w:div w:id="1441416122">
      <w:bodyDiv w:val="1"/>
      <w:marLeft w:val="0"/>
      <w:marRight w:val="0"/>
      <w:marTop w:val="0"/>
      <w:marBottom w:val="0"/>
      <w:divBdr>
        <w:top w:val="none" w:sz="0" w:space="0" w:color="auto"/>
        <w:left w:val="none" w:sz="0" w:space="0" w:color="auto"/>
        <w:bottom w:val="none" w:sz="0" w:space="0" w:color="auto"/>
        <w:right w:val="none" w:sz="0" w:space="0" w:color="auto"/>
      </w:divBdr>
    </w:div>
    <w:div w:id="1441562062">
      <w:bodyDiv w:val="1"/>
      <w:marLeft w:val="0"/>
      <w:marRight w:val="0"/>
      <w:marTop w:val="0"/>
      <w:marBottom w:val="0"/>
      <w:divBdr>
        <w:top w:val="none" w:sz="0" w:space="0" w:color="auto"/>
        <w:left w:val="none" w:sz="0" w:space="0" w:color="auto"/>
        <w:bottom w:val="none" w:sz="0" w:space="0" w:color="auto"/>
        <w:right w:val="none" w:sz="0" w:space="0" w:color="auto"/>
      </w:divBdr>
    </w:div>
    <w:div w:id="1453018505">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70054059">
      <w:bodyDiv w:val="1"/>
      <w:marLeft w:val="0"/>
      <w:marRight w:val="0"/>
      <w:marTop w:val="0"/>
      <w:marBottom w:val="0"/>
      <w:divBdr>
        <w:top w:val="none" w:sz="0" w:space="0" w:color="auto"/>
        <w:left w:val="none" w:sz="0" w:space="0" w:color="auto"/>
        <w:bottom w:val="none" w:sz="0" w:space="0" w:color="auto"/>
        <w:right w:val="none" w:sz="0" w:space="0" w:color="auto"/>
      </w:divBdr>
    </w:div>
    <w:div w:id="1503205190">
      <w:bodyDiv w:val="1"/>
      <w:marLeft w:val="0"/>
      <w:marRight w:val="0"/>
      <w:marTop w:val="0"/>
      <w:marBottom w:val="0"/>
      <w:divBdr>
        <w:top w:val="none" w:sz="0" w:space="0" w:color="auto"/>
        <w:left w:val="none" w:sz="0" w:space="0" w:color="auto"/>
        <w:bottom w:val="none" w:sz="0" w:space="0" w:color="auto"/>
        <w:right w:val="none" w:sz="0" w:space="0" w:color="auto"/>
      </w:divBdr>
    </w:div>
    <w:div w:id="1504199054">
      <w:bodyDiv w:val="1"/>
      <w:marLeft w:val="0"/>
      <w:marRight w:val="0"/>
      <w:marTop w:val="0"/>
      <w:marBottom w:val="0"/>
      <w:divBdr>
        <w:top w:val="none" w:sz="0" w:space="0" w:color="auto"/>
        <w:left w:val="none" w:sz="0" w:space="0" w:color="auto"/>
        <w:bottom w:val="none" w:sz="0" w:space="0" w:color="auto"/>
        <w:right w:val="none" w:sz="0" w:space="0" w:color="auto"/>
      </w:divBdr>
    </w:div>
    <w:div w:id="1525944016">
      <w:bodyDiv w:val="1"/>
      <w:marLeft w:val="0"/>
      <w:marRight w:val="0"/>
      <w:marTop w:val="0"/>
      <w:marBottom w:val="0"/>
      <w:divBdr>
        <w:top w:val="none" w:sz="0" w:space="0" w:color="auto"/>
        <w:left w:val="none" w:sz="0" w:space="0" w:color="auto"/>
        <w:bottom w:val="none" w:sz="0" w:space="0" w:color="auto"/>
        <w:right w:val="none" w:sz="0" w:space="0" w:color="auto"/>
      </w:divBdr>
    </w:div>
    <w:div w:id="1542589709">
      <w:bodyDiv w:val="1"/>
      <w:marLeft w:val="0"/>
      <w:marRight w:val="0"/>
      <w:marTop w:val="0"/>
      <w:marBottom w:val="0"/>
      <w:divBdr>
        <w:top w:val="none" w:sz="0" w:space="0" w:color="auto"/>
        <w:left w:val="none" w:sz="0" w:space="0" w:color="auto"/>
        <w:bottom w:val="none" w:sz="0" w:space="0" w:color="auto"/>
        <w:right w:val="none" w:sz="0" w:space="0" w:color="auto"/>
      </w:divBdr>
    </w:div>
    <w:div w:id="1554464582">
      <w:bodyDiv w:val="1"/>
      <w:marLeft w:val="0"/>
      <w:marRight w:val="0"/>
      <w:marTop w:val="0"/>
      <w:marBottom w:val="0"/>
      <w:divBdr>
        <w:top w:val="none" w:sz="0" w:space="0" w:color="auto"/>
        <w:left w:val="none" w:sz="0" w:space="0" w:color="auto"/>
        <w:bottom w:val="none" w:sz="0" w:space="0" w:color="auto"/>
        <w:right w:val="none" w:sz="0" w:space="0" w:color="auto"/>
      </w:divBdr>
    </w:div>
    <w:div w:id="1588297475">
      <w:bodyDiv w:val="1"/>
      <w:marLeft w:val="0"/>
      <w:marRight w:val="0"/>
      <w:marTop w:val="0"/>
      <w:marBottom w:val="0"/>
      <w:divBdr>
        <w:top w:val="none" w:sz="0" w:space="0" w:color="auto"/>
        <w:left w:val="none" w:sz="0" w:space="0" w:color="auto"/>
        <w:bottom w:val="none" w:sz="0" w:space="0" w:color="auto"/>
        <w:right w:val="none" w:sz="0" w:space="0" w:color="auto"/>
      </w:divBdr>
    </w:div>
    <w:div w:id="1594318814">
      <w:bodyDiv w:val="1"/>
      <w:marLeft w:val="0"/>
      <w:marRight w:val="0"/>
      <w:marTop w:val="0"/>
      <w:marBottom w:val="0"/>
      <w:divBdr>
        <w:top w:val="none" w:sz="0" w:space="0" w:color="auto"/>
        <w:left w:val="none" w:sz="0" w:space="0" w:color="auto"/>
        <w:bottom w:val="none" w:sz="0" w:space="0" w:color="auto"/>
        <w:right w:val="none" w:sz="0" w:space="0" w:color="auto"/>
      </w:divBdr>
    </w:div>
    <w:div w:id="1596094566">
      <w:bodyDiv w:val="1"/>
      <w:marLeft w:val="0"/>
      <w:marRight w:val="0"/>
      <w:marTop w:val="0"/>
      <w:marBottom w:val="0"/>
      <w:divBdr>
        <w:top w:val="none" w:sz="0" w:space="0" w:color="auto"/>
        <w:left w:val="none" w:sz="0" w:space="0" w:color="auto"/>
        <w:bottom w:val="none" w:sz="0" w:space="0" w:color="auto"/>
        <w:right w:val="none" w:sz="0" w:space="0" w:color="auto"/>
      </w:divBdr>
    </w:div>
    <w:div w:id="1612860164">
      <w:bodyDiv w:val="1"/>
      <w:marLeft w:val="0"/>
      <w:marRight w:val="0"/>
      <w:marTop w:val="0"/>
      <w:marBottom w:val="0"/>
      <w:divBdr>
        <w:top w:val="none" w:sz="0" w:space="0" w:color="auto"/>
        <w:left w:val="none" w:sz="0" w:space="0" w:color="auto"/>
        <w:bottom w:val="none" w:sz="0" w:space="0" w:color="auto"/>
        <w:right w:val="none" w:sz="0" w:space="0" w:color="auto"/>
      </w:divBdr>
    </w:div>
    <w:div w:id="1658143582">
      <w:bodyDiv w:val="1"/>
      <w:marLeft w:val="0"/>
      <w:marRight w:val="0"/>
      <w:marTop w:val="0"/>
      <w:marBottom w:val="0"/>
      <w:divBdr>
        <w:top w:val="none" w:sz="0" w:space="0" w:color="auto"/>
        <w:left w:val="none" w:sz="0" w:space="0" w:color="auto"/>
        <w:bottom w:val="none" w:sz="0" w:space="0" w:color="auto"/>
        <w:right w:val="none" w:sz="0" w:space="0" w:color="auto"/>
      </w:divBdr>
    </w:div>
    <w:div w:id="1664966514">
      <w:bodyDiv w:val="1"/>
      <w:marLeft w:val="0"/>
      <w:marRight w:val="0"/>
      <w:marTop w:val="0"/>
      <w:marBottom w:val="0"/>
      <w:divBdr>
        <w:top w:val="none" w:sz="0" w:space="0" w:color="auto"/>
        <w:left w:val="none" w:sz="0" w:space="0" w:color="auto"/>
        <w:bottom w:val="none" w:sz="0" w:space="0" w:color="auto"/>
        <w:right w:val="none" w:sz="0" w:space="0" w:color="auto"/>
      </w:divBdr>
    </w:div>
    <w:div w:id="1680696364">
      <w:bodyDiv w:val="1"/>
      <w:marLeft w:val="0"/>
      <w:marRight w:val="0"/>
      <w:marTop w:val="0"/>
      <w:marBottom w:val="0"/>
      <w:divBdr>
        <w:top w:val="none" w:sz="0" w:space="0" w:color="auto"/>
        <w:left w:val="none" w:sz="0" w:space="0" w:color="auto"/>
        <w:bottom w:val="none" w:sz="0" w:space="0" w:color="auto"/>
        <w:right w:val="none" w:sz="0" w:space="0" w:color="auto"/>
      </w:divBdr>
    </w:div>
    <w:div w:id="1692879404">
      <w:bodyDiv w:val="1"/>
      <w:marLeft w:val="0"/>
      <w:marRight w:val="0"/>
      <w:marTop w:val="0"/>
      <w:marBottom w:val="0"/>
      <w:divBdr>
        <w:top w:val="none" w:sz="0" w:space="0" w:color="auto"/>
        <w:left w:val="none" w:sz="0" w:space="0" w:color="auto"/>
        <w:bottom w:val="none" w:sz="0" w:space="0" w:color="auto"/>
        <w:right w:val="none" w:sz="0" w:space="0" w:color="auto"/>
      </w:divBdr>
    </w:div>
    <w:div w:id="1705057327">
      <w:bodyDiv w:val="1"/>
      <w:marLeft w:val="0"/>
      <w:marRight w:val="0"/>
      <w:marTop w:val="0"/>
      <w:marBottom w:val="0"/>
      <w:divBdr>
        <w:top w:val="none" w:sz="0" w:space="0" w:color="auto"/>
        <w:left w:val="none" w:sz="0" w:space="0" w:color="auto"/>
        <w:bottom w:val="none" w:sz="0" w:space="0" w:color="auto"/>
        <w:right w:val="none" w:sz="0" w:space="0" w:color="auto"/>
      </w:divBdr>
    </w:div>
    <w:div w:id="1705252209">
      <w:bodyDiv w:val="1"/>
      <w:marLeft w:val="0"/>
      <w:marRight w:val="0"/>
      <w:marTop w:val="0"/>
      <w:marBottom w:val="0"/>
      <w:divBdr>
        <w:top w:val="none" w:sz="0" w:space="0" w:color="auto"/>
        <w:left w:val="none" w:sz="0" w:space="0" w:color="auto"/>
        <w:bottom w:val="none" w:sz="0" w:space="0" w:color="auto"/>
        <w:right w:val="none" w:sz="0" w:space="0" w:color="auto"/>
      </w:divBdr>
    </w:div>
    <w:div w:id="1707868542">
      <w:bodyDiv w:val="1"/>
      <w:marLeft w:val="0"/>
      <w:marRight w:val="0"/>
      <w:marTop w:val="0"/>
      <w:marBottom w:val="0"/>
      <w:divBdr>
        <w:top w:val="none" w:sz="0" w:space="0" w:color="auto"/>
        <w:left w:val="none" w:sz="0" w:space="0" w:color="auto"/>
        <w:bottom w:val="none" w:sz="0" w:space="0" w:color="auto"/>
        <w:right w:val="none" w:sz="0" w:space="0" w:color="auto"/>
      </w:divBdr>
    </w:div>
    <w:div w:id="1728529780">
      <w:bodyDiv w:val="1"/>
      <w:marLeft w:val="0"/>
      <w:marRight w:val="0"/>
      <w:marTop w:val="0"/>
      <w:marBottom w:val="0"/>
      <w:divBdr>
        <w:top w:val="none" w:sz="0" w:space="0" w:color="auto"/>
        <w:left w:val="none" w:sz="0" w:space="0" w:color="auto"/>
        <w:bottom w:val="none" w:sz="0" w:space="0" w:color="auto"/>
        <w:right w:val="none" w:sz="0" w:space="0" w:color="auto"/>
      </w:divBdr>
    </w:div>
    <w:div w:id="1760131088">
      <w:bodyDiv w:val="1"/>
      <w:marLeft w:val="0"/>
      <w:marRight w:val="0"/>
      <w:marTop w:val="0"/>
      <w:marBottom w:val="0"/>
      <w:divBdr>
        <w:top w:val="none" w:sz="0" w:space="0" w:color="auto"/>
        <w:left w:val="none" w:sz="0" w:space="0" w:color="auto"/>
        <w:bottom w:val="none" w:sz="0" w:space="0" w:color="auto"/>
        <w:right w:val="none" w:sz="0" w:space="0" w:color="auto"/>
      </w:divBdr>
    </w:div>
    <w:div w:id="1765567805">
      <w:bodyDiv w:val="1"/>
      <w:marLeft w:val="0"/>
      <w:marRight w:val="0"/>
      <w:marTop w:val="0"/>
      <w:marBottom w:val="0"/>
      <w:divBdr>
        <w:top w:val="none" w:sz="0" w:space="0" w:color="auto"/>
        <w:left w:val="none" w:sz="0" w:space="0" w:color="auto"/>
        <w:bottom w:val="none" w:sz="0" w:space="0" w:color="auto"/>
        <w:right w:val="none" w:sz="0" w:space="0" w:color="auto"/>
      </w:divBdr>
    </w:div>
    <w:div w:id="1768765023">
      <w:bodyDiv w:val="1"/>
      <w:marLeft w:val="0"/>
      <w:marRight w:val="0"/>
      <w:marTop w:val="0"/>
      <w:marBottom w:val="0"/>
      <w:divBdr>
        <w:top w:val="none" w:sz="0" w:space="0" w:color="auto"/>
        <w:left w:val="none" w:sz="0" w:space="0" w:color="auto"/>
        <w:bottom w:val="none" w:sz="0" w:space="0" w:color="auto"/>
        <w:right w:val="none" w:sz="0" w:space="0" w:color="auto"/>
      </w:divBdr>
    </w:div>
    <w:div w:id="1794328643">
      <w:bodyDiv w:val="1"/>
      <w:marLeft w:val="0"/>
      <w:marRight w:val="0"/>
      <w:marTop w:val="0"/>
      <w:marBottom w:val="0"/>
      <w:divBdr>
        <w:top w:val="none" w:sz="0" w:space="0" w:color="auto"/>
        <w:left w:val="none" w:sz="0" w:space="0" w:color="auto"/>
        <w:bottom w:val="none" w:sz="0" w:space="0" w:color="auto"/>
        <w:right w:val="none" w:sz="0" w:space="0" w:color="auto"/>
      </w:divBdr>
    </w:div>
    <w:div w:id="1817330805">
      <w:bodyDiv w:val="1"/>
      <w:marLeft w:val="0"/>
      <w:marRight w:val="0"/>
      <w:marTop w:val="0"/>
      <w:marBottom w:val="0"/>
      <w:divBdr>
        <w:top w:val="none" w:sz="0" w:space="0" w:color="auto"/>
        <w:left w:val="none" w:sz="0" w:space="0" w:color="auto"/>
        <w:bottom w:val="none" w:sz="0" w:space="0" w:color="auto"/>
        <w:right w:val="none" w:sz="0" w:space="0" w:color="auto"/>
      </w:divBdr>
    </w:div>
    <w:div w:id="1845438393">
      <w:bodyDiv w:val="1"/>
      <w:marLeft w:val="0"/>
      <w:marRight w:val="0"/>
      <w:marTop w:val="0"/>
      <w:marBottom w:val="0"/>
      <w:divBdr>
        <w:top w:val="none" w:sz="0" w:space="0" w:color="auto"/>
        <w:left w:val="none" w:sz="0" w:space="0" w:color="auto"/>
        <w:bottom w:val="none" w:sz="0" w:space="0" w:color="auto"/>
        <w:right w:val="none" w:sz="0" w:space="0" w:color="auto"/>
      </w:divBdr>
    </w:div>
    <w:div w:id="1845974933">
      <w:bodyDiv w:val="1"/>
      <w:marLeft w:val="0"/>
      <w:marRight w:val="0"/>
      <w:marTop w:val="0"/>
      <w:marBottom w:val="0"/>
      <w:divBdr>
        <w:top w:val="none" w:sz="0" w:space="0" w:color="auto"/>
        <w:left w:val="none" w:sz="0" w:space="0" w:color="auto"/>
        <w:bottom w:val="none" w:sz="0" w:space="0" w:color="auto"/>
        <w:right w:val="none" w:sz="0" w:space="0" w:color="auto"/>
      </w:divBdr>
    </w:div>
    <w:div w:id="1848322040">
      <w:bodyDiv w:val="1"/>
      <w:marLeft w:val="0"/>
      <w:marRight w:val="0"/>
      <w:marTop w:val="0"/>
      <w:marBottom w:val="0"/>
      <w:divBdr>
        <w:top w:val="none" w:sz="0" w:space="0" w:color="auto"/>
        <w:left w:val="none" w:sz="0" w:space="0" w:color="auto"/>
        <w:bottom w:val="none" w:sz="0" w:space="0" w:color="auto"/>
        <w:right w:val="none" w:sz="0" w:space="0" w:color="auto"/>
      </w:divBdr>
    </w:div>
    <w:div w:id="1893034644">
      <w:bodyDiv w:val="1"/>
      <w:marLeft w:val="0"/>
      <w:marRight w:val="0"/>
      <w:marTop w:val="0"/>
      <w:marBottom w:val="0"/>
      <w:divBdr>
        <w:top w:val="none" w:sz="0" w:space="0" w:color="auto"/>
        <w:left w:val="none" w:sz="0" w:space="0" w:color="auto"/>
        <w:bottom w:val="none" w:sz="0" w:space="0" w:color="auto"/>
        <w:right w:val="none" w:sz="0" w:space="0" w:color="auto"/>
      </w:divBdr>
    </w:div>
    <w:div w:id="1894852465">
      <w:bodyDiv w:val="1"/>
      <w:marLeft w:val="0"/>
      <w:marRight w:val="0"/>
      <w:marTop w:val="0"/>
      <w:marBottom w:val="0"/>
      <w:divBdr>
        <w:top w:val="none" w:sz="0" w:space="0" w:color="auto"/>
        <w:left w:val="none" w:sz="0" w:space="0" w:color="auto"/>
        <w:bottom w:val="none" w:sz="0" w:space="0" w:color="auto"/>
        <w:right w:val="none" w:sz="0" w:space="0" w:color="auto"/>
      </w:divBdr>
    </w:div>
    <w:div w:id="1902668171">
      <w:bodyDiv w:val="1"/>
      <w:marLeft w:val="0"/>
      <w:marRight w:val="0"/>
      <w:marTop w:val="0"/>
      <w:marBottom w:val="0"/>
      <w:divBdr>
        <w:top w:val="none" w:sz="0" w:space="0" w:color="auto"/>
        <w:left w:val="none" w:sz="0" w:space="0" w:color="auto"/>
        <w:bottom w:val="none" w:sz="0" w:space="0" w:color="auto"/>
        <w:right w:val="none" w:sz="0" w:space="0" w:color="auto"/>
      </w:divBdr>
    </w:div>
    <w:div w:id="1944340028">
      <w:bodyDiv w:val="1"/>
      <w:marLeft w:val="0"/>
      <w:marRight w:val="0"/>
      <w:marTop w:val="0"/>
      <w:marBottom w:val="0"/>
      <w:divBdr>
        <w:top w:val="none" w:sz="0" w:space="0" w:color="auto"/>
        <w:left w:val="none" w:sz="0" w:space="0" w:color="auto"/>
        <w:bottom w:val="none" w:sz="0" w:space="0" w:color="auto"/>
        <w:right w:val="none" w:sz="0" w:space="0" w:color="auto"/>
      </w:divBdr>
    </w:div>
    <w:div w:id="1945502014">
      <w:bodyDiv w:val="1"/>
      <w:marLeft w:val="0"/>
      <w:marRight w:val="0"/>
      <w:marTop w:val="0"/>
      <w:marBottom w:val="0"/>
      <w:divBdr>
        <w:top w:val="none" w:sz="0" w:space="0" w:color="auto"/>
        <w:left w:val="none" w:sz="0" w:space="0" w:color="auto"/>
        <w:bottom w:val="none" w:sz="0" w:space="0" w:color="auto"/>
        <w:right w:val="none" w:sz="0" w:space="0" w:color="auto"/>
      </w:divBdr>
    </w:div>
    <w:div w:id="1964846887">
      <w:bodyDiv w:val="1"/>
      <w:marLeft w:val="0"/>
      <w:marRight w:val="0"/>
      <w:marTop w:val="0"/>
      <w:marBottom w:val="0"/>
      <w:divBdr>
        <w:top w:val="none" w:sz="0" w:space="0" w:color="auto"/>
        <w:left w:val="none" w:sz="0" w:space="0" w:color="auto"/>
        <w:bottom w:val="none" w:sz="0" w:space="0" w:color="auto"/>
        <w:right w:val="none" w:sz="0" w:space="0" w:color="auto"/>
      </w:divBdr>
    </w:div>
    <w:div w:id="1984659103">
      <w:bodyDiv w:val="1"/>
      <w:marLeft w:val="0"/>
      <w:marRight w:val="0"/>
      <w:marTop w:val="0"/>
      <w:marBottom w:val="0"/>
      <w:divBdr>
        <w:top w:val="none" w:sz="0" w:space="0" w:color="auto"/>
        <w:left w:val="none" w:sz="0" w:space="0" w:color="auto"/>
        <w:bottom w:val="none" w:sz="0" w:space="0" w:color="auto"/>
        <w:right w:val="none" w:sz="0" w:space="0" w:color="auto"/>
      </w:divBdr>
    </w:div>
    <w:div w:id="2001544006">
      <w:bodyDiv w:val="1"/>
      <w:marLeft w:val="0"/>
      <w:marRight w:val="0"/>
      <w:marTop w:val="0"/>
      <w:marBottom w:val="0"/>
      <w:divBdr>
        <w:top w:val="none" w:sz="0" w:space="0" w:color="auto"/>
        <w:left w:val="none" w:sz="0" w:space="0" w:color="auto"/>
        <w:bottom w:val="none" w:sz="0" w:space="0" w:color="auto"/>
        <w:right w:val="none" w:sz="0" w:space="0" w:color="auto"/>
      </w:divBdr>
    </w:div>
    <w:div w:id="2010598957">
      <w:bodyDiv w:val="1"/>
      <w:marLeft w:val="0"/>
      <w:marRight w:val="0"/>
      <w:marTop w:val="0"/>
      <w:marBottom w:val="0"/>
      <w:divBdr>
        <w:top w:val="none" w:sz="0" w:space="0" w:color="auto"/>
        <w:left w:val="none" w:sz="0" w:space="0" w:color="auto"/>
        <w:bottom w:val="none" w:sz="0" w:space="0" w:color="auto"/>
        <w:right w:val="none" w:sz="0" w:space="0" w:color="auto"/>
      </w:divBdr>
    </w:div>
    <w:div w:id="2035767593">
      <w:bodyDiv w:val="1"/>
      <w:marLeft w:val="0"/>
      <w:marRight w:val="0"/>
      <w:marTop w:val="0"/>
      <w:marBottom w:val="0"/>
      <w:divBdr>
        <w:top w:val="none" w:sz="0" w:space="0" w:color="auto"/>
        <w:left w:val="none" w:sz="0" w:space="0" w:color="auto"/>
        <w:bottom w:val="none" w:sz="0" w:space="0" w:color="auto"/>
        <w:right w:val="none" w:sz="0" w:space="0" w:color="auto"/>
      </w:divBdr>
    </w:div>
    <w:div w:id="2069181395">
      <w:bodyDiv w:val="1"/>
      <w:marLeft w:val="0"/>
      <w:marRight w:val="0"/>
      <w:marTop w:val="0"/>
      <w:marBottom w:val="0"/>
      <w:divBdr>
        <w:top w:val="none" w:sz="0" w:space="0" w:color="auto"/>
        <w:left w:val="none" w:sz="0" w:space="0" w:color="auto"/>
        <w:bottom w:val="none" w:sz="0" w:space="0" w:color="auto"/>
        <w:right w:val="none" w:sz="0" w:space="0" w:color="auto"/>
      </w:divBdr>
    </w:div>
    <w:div w:id="2110078799">
      <w:bodyDiv w:val="1"/>
      <w:marLeft w:val="0"/>
      <w:marRight w:val="0"/>
      <w:marTop w:val="0"/>
      <w:marBottom w:val="0"/>
      <w:divBdr>
        <w:top w:val="none" w:sz="0" w:space="0" w:color="auto"/>
        <w:left w:val="none" w:sz="0" w:space="0" w:color="auto"/>
        <w:bottom w:val="none" w:sz="0" w:space="0" w:color="auto"/>
        <w:right w:val="none" w:sz="0" w:space="0" w:color="auto"/>
      </w:divBdr>
    </w:div>
    <w:div w:id="2128353226">
      <w:bodyDiv w:val="1"/>
      <w:marLeft w:val="0"/>
      <w:marRight w:val="0"/>
      <w:marTop w:val="0"/>
      <w:marBottom w:val="0"/>
      <w:divBdr>
        <w:top w:val="none" w:sz="0" w:space="0" w:color="auto"/>
        <w:left w:val="none" w:sz="0" w:space="0" w:color="auto"/>
        <w:bottom w:val="none" w:sz="0" w:space="0" w:color="auto"/>
        <w:right w:val="none" w:sz="0" w:space="0" w:color="auto"/>
      </w:divBdr>
    </w:div>
    <w:div w:id="21423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1743-eiropas-savienibas-fondu-20212027-gada-planosanas-perioda-vadibas-likums" TargetMode="External"/><Relationship Id="rId13" Type="http://schemas.openxmlformats.org/officeDocument/2006/relationships/hyperlink" Target="mailto:Ilze.Verdina-Lace@vm.gov.l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dace.brig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Voldeks@vm.gov.lv" TargetMode="External"/><Relationship Id="rId5" Type="http://schemas.openxmlformats.org/officeDocument/2006/relationships/webSettings" Target="webSettings.xml"/><Relationship Id="rId15" Type="http://schemas.openxmlformats.org/officeDocument/2006/relationships/hyperlink" Target="mailto:Linda.Romanovska@vm.gov.lv" TargetMode="External"/><Relationship Id="rId23" Type="http://schemas.openxmlformats.org/officeDocument/2006/relationships/customXml" Target="../customXml/item4.xml"/><Relationship Id="rId10" Type="http://schemas.openxmlformats.org/officeDocument/2006/relationships/hyperlink" Target="mailto:Agnese.Tomsone@v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alters-reinis.rasnacs@vm.gov.lv" TargetMode="External"/><Relationship Id="rId14" Type="http://schemas.openxmlformats.org/officeDocument/2006/relationships/hyperlink" Target="mailto:Indra.Matisone@vm.gov.lv"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www.varam.gov.lv/lv/zalais-publisk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EF2C0-DF2C-4E5E-80E7-A86204F2A2B6}"/>
</file>

<file path=customXml/itemProps2.xml><?xml version="1.0" encoding="utf-8"?>
<ds:datastoreItem xmlns:ds="http://schemas.openxmlformats.org/officeDocument/2006/customXml" ds:itemID="{50AEEB00-B805-48B5-A1C3-A70CCF1F66F7}"/>
</file>

<file path=customXml/itemProps3.xml><?xml version="1.0" encoding="utf-8"?>
<ds:datastoreItem xmlns:ds="http://schemas.openxmlformats.org/officeDocument/2006/customXml" ds:itemID="{A4F8BEA2-7BF3-4091-B71F-DC3820FC50C9}"/>
</file>

<file path=customXml/itemProps4.xml><?xml version="1.0" encoding="utf-8"?>
<ds:datastoreItem xmlns:ds="http://schemas.openxmlformats.org/officeDocument/2006/customXml" ds:itemID="{EBE6AAE4-7E0F-44E6-AB64-9FD4EEE7FE77}"/>
</file>

<file path=docProps/app.xml><?xml version="1.0" encoding="utf-8"?>
<Properties xmlns="http://schemas.openxmlformats.org/officeDocument/2006/extended-properties" xmlns:vt="http://schemas.openxmlformats.org/officeDocument/2006/docPropsVTypes">
  <Template>Normal</Template>
  <TotalTime>788</TotalTime>
  <Pages>15</Pages>
  <Words>6162</Words>
  <Characters>35128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Anna Pukse </cp:lastModifiedBy>
  <cp:revision>124</cp:revision>
  <cp:lastPrinted>2016-01-21T11:13:00Z</cp:lastPrinted>
  <dcterms:created xsi:type="dcterms:W3CDTF">2022-08-18T05:37:00Z</dcterms:created>
  <dcterms:modified xsi:type="dcterms:W3CDTF">2022-12-22T16:18:00Z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