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2ACC" w14:textId="07EB4E70" w:rsidR="00137F01" w:rsidRPr="00A57181" w:rsidRDefault="00137F01" w:rsidP="00B55104">
      <w:pPr>
        <w:pStyle w:val="Standard"/>
        <w:jc w:val="center"/>
        <w:rPr>
          <w:b/>
          <w:szCs w:val="24"/>
        </w:rPr>
      </w:pPr>
      <w:r w:rsidRPr="00A57181">
        <w:rPr>
          <w:b/>
          <w:szCs w:val="24"/>
        </w:rPr>
        <w:t xml:space="preserve">Izziņa ar saņemtajiem komentāriem par </w:t>
      </w:r>
      <w:r w:rsidR="001A78B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1A78B6" w:rsidRPr="001A78B6">
        <w:rPr>
          <w:b/>
          <w:szCs w:val="24"/>
        </w:rPr>
        <w:t xml:space="preserve">Ekonomikas </w:t>
      </w:r>
      <w:r w:rsidR="00A57181" w:rsidRPr="00A57181">
        <w:rPr>
          <w:b/>
          <w:szCs w:val="24"/>
        </w:rPr>
        <w:t xml:space="preserve">ministrijas </w:t>
      </w:r>
      <w:r w:rsidR="001A78B6" w:rsidRPr="001A78B6">
        <w:rPr>
          <w:b/>
          <w:szCs w:val="24"/>
        </w:rPr>
        <w:t xml:space="preserve">1.2.1.4.pasākuma “Atbalsts tehnoloģiju </w:t>
      </w:r>
      <w:proofErr w:type="spellStart"/>
      <w:r w:rsidR="001A78B6" w:rsidRPr="001A78B6">
        <w:rPr>
          <w:b/>
          <w:szCs w:val="24"/>
        </w:rPr>
        <w:t>pārneses</w:t>
      </w:r>
      <w:proofErr w:type="spellEnd"/>
      <w:r w:rsidR="001A78B6" w:rsidRPr="001A78B6">
        <w:rPr>
          <w:b/>
          <w:szCs w:val="24"/>
        </w:rPr>
        <w:t xml:space="preserve"> sistēmas pilnveidošanai”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1560"/>
        <w:gridCol w:w="3969"/>
        <w:gridCol w:w="6378"/>
        <w:gridCol w:w="1479"/>
      </w:tblGrid>
      <w:tr w:rsidR="00A57181" w:rsidRPr="005E508C" w14:paraId="1DC85C06" w14:textId="77777777" w:rsidTr="005D6776">
        <w:tc>
          <w:tcPr>
            <w:tcW w:w="562" w:type="dxa"/>
          </w:tcPr>
          <w:p w14:paraId="4BB141E3" w14:textId="76725B81" w:rsidR="00A57181" w:rsidRPr="005E508C" w:rsidRDefault="00A57181" w:rsidP="00137F01">
            <w:pPr>
              <w:pStyle w:val="Standard"/>
              <w:jc w:val="center"/>
              <w:rPr>
                <w:rFonts w:cs="Times New Roman"/>
                <w:b/>
                <w:bCs/>
                <w:sz w:val="22"/>
              </w:rPr>
            </w:pPr>
            <w:r w:rsidRPr="005E508C">
              <w:rPr>
                <w:rFonts w:cs="Times New Roman"/>
                <w:b/>
                <w:bCs/>
                <w:sz w:val="22"/>
              </w:rPr>
              <w:t>Nr.</w:t>
            </w:r>
          </w:p>
        </w:tc>
        <w:tc>
          <w:tcPr>
            <w:tcW w:w="1560" w:type="dxa"/>
          </w:tcPr>
          <w:p w14:paraId="6A3984BE" w14:textId="1C6C92FE" w:rsidR="00A57181" w:rsidRPr="005E508C" w:rsidRDefault="00A57181" w:rsidP="00137F01">
            <w:pPr>
              <w:pStyle w:val="Standard"/>
              <w:jc w:val="center"/>
              <w:rPr>
                <w:rFonts w:cs="Times New Roman"/>
                <w:b/>
                <w:bCs/>
                <w:sz w:val="22"/>
              </w:rPr>
            </w:pPr>
            <w:r w:rsidRPr="005E508C">
              <w:rPr>
                <w:rFonts w:cs="Times New Roman"/>
                <w:b/>
                <w:bCs/>
                <w:sz w:val="22"/>
              </w:rPr>
              <w:t>Materiālu esošā redakcija</w:t>
            </w:r>
          </w:p>
        </w:tc>
        <w:tc>
          <w:tcPr>
            <w:tcW w:w="3969" w:type="dxa"/>
          </w:tcPr>
          <w:p w14:paraId="3BA660B7" w14:textId="5C270AD7" w:rsidR="00A57181" w:rsidRPr="005E508C" w:rsidRDefault="001A78B6" w:rsidP="00A57181">
            <w:pPr>
              <w:pStyle w:val="Standard"/>
              <w:jc w:val="center"/>
              <w:rPr>
                <w:rFonts w:cs="Times New Roman"/>
                <w:b/>
                <w:bCs/>
                <w:sz w:val="22"/>
              </w:rPr>
            </w:pPr>
            <w:r w:rsidRPr="005E508C">
              <w:rPr>
                <w:rFonts w:cs="Times New Roman"/>
                <w:b/>
                <w:bCs/>
                <w:sz w:val="22"/>
              </w:rPr>
              <w:t>U</w:t>
            </w:r>
            <w:r w:rsidR="00A57181" w:rsidRPr="005E508C">
              <w:rPr>
                <w:rFonts w:cs="Times New Roman"/>
                <w:b/>
                <w:bCs/>
                <w:sz w:val="22"/>
              </w:rPr>
              <w:t>K dalībnieka komentārs</w:t>
            </w:r>
          </w:p>
        </w:tc>
        <w:tc>
          <w:tcPr>
            <w:tcW w:w="6378" w:type="dxa"/>
          </w:tcPr>
          <w:p w14:paraId="78D91156" w14:textId="52B5B91F" w:rsidR="00A57181" w:rsidRPr="005E508C" w:rsidRDefault="00A57181" w:rsidP="00137F01">
            <w:pPr>
              <w:pStyle w:val="Standard"/>
              <w:jc w:val="center"/>
              <w:rPr>
                <w:rFonts w:cs="Times New Roman"/>
                <w:b/>
                <w:bCs/>
                <w:sz w:val="22"/>
              </w:rPr>
            </w:pPr>
            <w:r w:rsidRPr="005E508C">
              <w:rPr>
                <w:rFonts w:cs="Times New Roman"/>
                <w:b/>
                <w:bCs/>
                <w:sz w:val="22"/>
              </w:rPr>
              <w:t>AI viedoklis</w:t>
            </w:r>
          </w:p>
        </w:tc>
        <w:tc>
          <w:tcPr>
            <w:tcW w:w="1479" w:type="dxa"/>
          </w:tcPr>
          <w:p w14:paraId="3A7B0DAC" w14:textId="0C266D42" w:rsidR="00A57181" w:rsidRPr="005E508C" w:rsidRDefault="00A57181" w:rsidP="00137F01">
            <w:pPr>
              <w:pStyle w:val="Standard"/>
              <w:jc w:val="center"/>
              <w:rPr>
                <w:rFonts w:cs="Times New Roman"/>
                <w:b/>
                <w:bCs/>
                <w:sz w:val="22"/>
              </w:rPr>
            </w:pPr>
            <w:r w:rsidRPr="005E508C">
              <w:rPr>
                <w:rFonts w:cs="Times New Roman"/>
                <w:b/>
                <w:bCs/>
                <w:sz w:val="22"/>
              </w:rPr>
              <w:t>Gala redakcija</w:t>
            </w:r>
          </w:p>
        </w:tc>
      </w:tr>
      <w:tr w:rsidR="00A57181" w:rsidRPr="005E508C" w14:paraId="380416C8" w14:textId="77777777" w:rsidTr="005D6776">
        <w:tc>
          <w:tcPr>
            <w:tcW w:w="562" w:type="dxa"/>
          </w:tcPr>
          <w:p w14:paraId="2A7F122C" w14:textId="77777777" w:rsidR="00A57181" w:rsidRPr="005E508C" w:rsidRDefault="00A57181" w:rsidP="00137F01">
            <w:pPr>
              <w:pStyle w:val="Standard"/>
              <w:jc w:val="center"/>
              <w:rPr>
                <w:rFonts w:cs="Times New Roman"/>
                <w:b/>
                <w:bCs/>
                <w:sz w:val="22"/>
              </w:rPr>
            </w:pPr>
          </w:p>
        </w:tc>
        <w:tc>
          <w:tcPr>
            <w:tcW w:w="1560" w:type="dxa"/>
          </w:tcPr>
          <w:p w14:paraId="67E8DA1B" w14:textId="393A3207" w:rsidR="00A57181" w:rsidRPr="005E508C" w:rsidRDefault="00A57181" w:rsidP="00137F01">
            <w:pPr>
              <w:pStyle w:val="Standard"/>
              <w:jc w:val="center"/>
              <w:rPr>
                <w:rFonts w:cs="Times New Roman"/>
                <w:b/>
                <w:bCs/>
                <w:sz w:val="22"/>
              </w:rPr>
            </w:pPr>
            <w:r w:rsidRPr="005E508C">
              <w:rPr>
                <w:rFonts w:cs="Times New Roman"/>
                <w:b/>
                <w:bCs/>
                <w:sz w:val="22"/>
              </w:rPr>
              <w:t>1</w:t>
            </w:r>
          </w:p>
        </w:tc>
        <w:tc>
          <w:tcPr>
            <w:tcW w:w="3969" w:type="dxa"/>
          </w:tcPr>
          <w:p w14:paraId="6B041985" w14:textId="089E011A" w:rsidR="00A57181" w:rsidRPr="005E508C" w:rsidRDefault="00A57181" w:rsidP="00137F01">
            <w:pPr>
              <w:pStyle w:val="Standard"/>
              <w:jc w:val="center"/>
              <w:rPr>
                <w:rFonts w:cs="Times New Roman"/>
                <w:b/>
                <w:bCs/>
                <w:sz w:val="22"/>
              </w:rPr>
            </w:pPr>
            <w:r w:rsidRPr="005E508C">
              <w:rPr>
                <w:rFonts w:cs="Times New Roman"/>
                <w:b/>
                <w:bCs/>
                <w:sz w:val="22"/>
              </w:rPr>
              <w:t>2</w:t>
            </w:r>
          </w:p>
        </w:tc>
        <w:tc>
          <w:tcPr>
            <w:tcW w:w="6378" w:type="dxa"/>
          </w:tcPr>
          <w:p w14:paraId="1753E9BF" w14:textId="309CEBA8" w:rsidR="00A57181" w:rsidRPr="005E508C" w:rsidRDefault="00A57181" w:rsidP="00137F01">
            <w:pPr>
              <w:pStyle w:val="Standard"/>
              <w:jc w:val="center"/>
              <w:rPr>
                <w:rFonts w:cs="Times New Roman"/>
                <w:b/>
                <w:bCs/>
                <w:sz w:val="22"/>
              </w:rPr>
            </w:pPr>
            <w:r w:rsidRPr="005E508C">
              <w:rPr>
                <w:rFonts w:cs="Times New Roman"/>
                <w:b/>
                <w:bCs/>
                <w:sz w:val="22"/>
              </w:rPr>
              <w:t>3</w:t>
            </w:r>
          </w:p>
        </w:tc>
        <w:tc>
          <w:tcPr>
            <w:tcW w:w="1479" w:type="dxa"/>
          </w:tcPr>
          <w:p w14:paraId="093B038E" w14:textId="0F096221" w:rsidR="00A57181" w:rsidRPr="005E508C" w:rsidRDefault="00A57181" w:rsidP="00137F01">
            <w:pPr>
              <w:pStyle w:val="Standard"/>
              <w:jc w:val="center"/>
              <w:rPr>
                <w:rFonts w:cs="Times New Roman"/>
                <w:b/>
                <w:bCs/>
                <w:sz w:val="22"/>
              </w:rPr>
            </w:pPr>
            <w:r w:rsidRPr="005E508C">
              <w:rPr>
                <w:rFonts w:cs="Times New Roman"/>
                <w:b/>
                <w:bCs/>
                <w:sz w:val="22"/>
              </w:rPr>
              <w:t>3</w:t>
            </w:r>
          </w:p>
        </w:tc>
      </w:tr>
      <w:tr w:rsidR="00A57181" w:rsidRPr="005E508C" w14:paraId="5F51158A" w14:textId="77777777" w:rsidTr="00A742FD">
        <w:tc>
          <w:tcPr>
            <w:tcW w:w="13948" w:type="dxa"/>
            <w:gridSpan w:val="5"/>
            <w:shd w:val="clear" w:color="auto" w:fill="C5E0B3" w:themeFill="accent6" w:themeFillTint="66"/>
          </w:tcPr>
          <w:p w14:paraId="5E6EE4EC" w14:textId="30665F84" w:rsidR="00A57181" w:rsidRPr="005E508C" w:rsidRDefault="00A57181" w:rsidP="00A57181">
            <w:pPr>
              <w:pStyle w:val="Standard"/>
              <w:jc w:val="both"/>
              <w:rPr>
                <w:rFonts w:cs="Times New Roman"/>
                <w:b/>
                <w:bCs/>
                <w:sz w:val="22"/>
              </w:rPr>
            </w:pPr>
            <w:r w:rsidRPr="005E508C">
              <w:rPr>
                <w:rFonts w:cs="Times New Roman"/>
                <w:b/>
                <w:bCs/>
                <w:sz w:val="22"/>
              </w:rPr>
              <w:t>Par projektu iesniegumu vērtēšanas kritērijiem</w:t>
            </w:r>
          </w:p>
        </w:tc>
      </w:tr>
      <w:tr w:rsidR="00A57181" w:rsidRPr="005E508C" w14:paraId="6D4B6E25" w14:textId="77777777" w:rsidTr="005D6776">
        <w:tc>
          <w:tcPr>
            <w:tcW w:w="562" w:type="dxa"/>
          </w:tcPr>
          <w:p w14:paraId="44B426E0" w14:textId="77777777" w:rsidR="00A57181" w:rsidRPr="005E508C" w:rsidRDefault="00A57181" w:rsidP="00A57181">
            <w:pPr>
              <w:pStyle w:val="Standard"/>
              <w:numPr>
                <w:ilvl w:val="0"/>
                <w:numId w:val="13"/>
              </w:numPr>
              <w:ind w:hanging="1049"/>
              <w:jc w:val="center"/>
              <w:rPr>
                <w:rFonts w:cs="Times New Roman"/>
                <w:sz w:val="22"/>
              </w:rPr>
            </w:pPr>
          </w:p>
        </w:tc>
        <w:tc>
          <w:tcPr>
            <w:tcW w:w="1560" w:type="dxa"/>
          </w:tcPr>
          <w:p w14:paraId="4E442DC0" w14:textId="13C7CD6E" w:rsidR="00A57181" w:rsidRPr="005E508C" w:rsidRDefault="005E508C" w:rsidP="00177D5B">
            <w:pPr>
              <w:pStyle w:val="Standard"/>
              <w:jc w:val="both"/>
              <w:rPr>
                <w:rFonts w:cs="Times New Roman"/>
                <w:b/>
                <w:bCs/>
                <w:sz w:val="22"/>
              </w:rPr>
            </w:pPr>
            <w:r w:rsidRPr="005E508C">
              <w:rPr>
                <w:rFonts w:cs="Times New Roman"/>
                <w:b/>
                <w:bCs/>
                <w:sz w:val="22"/>
              </w:rPr>
              <w:t>Vispārīgi</w:t>
            </w:r>
          </w:p>
        </w:tc>
        <w:tc>
          <w:tcPr>
            <w:tcW w:w="3969" w:type="dxa"/>
          </w:tcPr>
          <w:p w14:paraId="3BADEABC" w14:textId="77777777" w:rsidR="00A57181" w:rsidRPr="005E508C" w:rsidRDefault="005E508C" w:rsidP="00177D5B">
            <w:pPr>
              <w:pStyle w:val="Standard"/>
              <w:jc w:val="both"/>
              <w:rPr>
                <w:rFonts w:cs="Times New Roman"/>
                <w:b/>
                <w:sz w:val="22"/>
              </w:rPr>
            </w:pPr>
            <w:r w:rsidRPr="005E508C">
              <w:rPr>
                <w:rFonts w:cs="Times New Roman"/>
                <w:b/>
                <w:sz w:val="22"/>
              </w:rPr>
              <w:t>Vides aizsardzības un reģionālās attīstības ministrija</w:t>
            </w:r>
          </w:p>
          <w:p w14:paraId="72868E7C" w14:textId="77777777" w:rsidR="005E508C" w:rsidRPr="005E508C" w:rsidRDefault="005E508C" w:rsidP="00177D5B">
            <w:pPr>
              <w:pStyle w:val="Standard"/>
              <w:jc w:val="both"/>
              <w:rPr>
                <w:rFonts w:cs="Times New Roman"/>
                <w:sz w:val="22"/>
              </w:rPr>
            </w:pPr>
          </w:p>
          <w:p w14:paraId="289BF871" w14:textId="4A5CFC6B" w:rsidR="005E508C" w:rsidRPr="005E508C" w:rsidRDefault="005E508C" w:rsidP="00177D5B">
            <w:pPr>
              <w:pStyle w:val="Standard"/>
              <w:jc w:val="both"/>
              <w:rPr>
                <w:rFonts w:cs="Times New Roman"/>
                <w:sz w:val="22"/>
              </w:rPr>
            </w:pPr>
            <w:r w:rsidRPr="005E508C">
              <w:rPr>
                <w:rFonts w:cs="Times New Roman"/>
                <w:sz w:val="22"/>
              </w:rPr>
              <w:t>Ierosina šī pasākuma kritērijus papildināt ar jaunu kritēriju, kas paredzētu teritoriālās pieejas piemērošanu atbilstoši Reģionālās politikas pamatnostādnēm 2021.-2027.gadam, pasākuma ietvaros nosakot finansējuma dalījumu reģionāli atbilstoši IKP uz vienu iedzīvotāju, lielāko finansējuma apjomu paredzot plānošanas reģionam ar mazāko reģionālo IKP uz vienu iedzīvotāju, attiecīgi projektu pieteikumu atlasi veicot šī reģionālā finansējuma ietvarā.</w:t>
            </w:r>
          </w:p>
        </w:tc>
        <w:tc>
          <w:tcPr>
            <w:tcW w:w="6378" w:type="dxa"/>
          </w:tcPr>
          <w:p w14:paraId="78998D4A" w14:textId="5CA59A41" w:rsidR="001D34CC" w:rsidRDefault="001D34CC" w:rsidP="00177D5B">
            <w:pPr>
              <w:pStyle w:val="Standard"/>
              <w:jc w:val="both"/>
              <w:rPr>
                <w:rFonts w:cs="Times New Roman"/>
                <w:sz w:val="22"/>
              </w:rPr>
            </w:pPr>
            <w:r>
              <w:rPr>
                <w:rFonts w:cs="Times New Roman"/>
                <w:sz w:val="22"/>
              </w:rPr>
              <w:t>Ekonomikas ministrija, vienojoties ar Vides aizsardzības un reģionālās attīstības ministriju, ir precizējusi 1.2.3.1. pasākuma “</w:t>
            </w:r>
            <w:r w:rsidRPr="001D34CC">
              <w:rPr>
                <w:rFonts w:cs="Times New Roman"/>
                <w:sz w:val="22"/>
              </w:rPr>
              <w:t>Atbalsts MVU inovatīvas uzņēmējdarbības attīstībai</w:t>
            </w:r>
            <w:r>
              <w:rPr>
                <w:rFonts w:cs="Times New Roman"/>
                <w:sz w:val="22"/>
              </w:rPr>
              <w:t xml:space="preserve">” ministru kabineta noteikumu projektu, iekļaujot nosacījumus, ka projekta iesniedzējam jeb Latvijas Investīciju un attīstības aģentūrai biznesa inkubācijas aktivitātes </w:t>
            </w:r>
            <w:r w:rsidRPr="001D34CC">
              <w:rPr>
                <w:rFonts w:cs="Times New Roman"/>
                <w:sz w:val="22"/>
              </w:rPr>
              <w:t xml:space="preserve">ietvaros ir pienākums veidot sadarbību ar zinātnes, mākslas un kultūras, lietišķo zinātņu universitātēm, lietišķo zinātņu augstskolām un pašvaldībām, kā arī industriālajiem parkiem vai industriālajām teritorijām pašvaldībās, kurās tiek īstenoti projekti tādās programmās kā 5.1.1. specifiskā atbalsta mērķa “Vietējās teritorijas integrētās sociālās, ekonomiskās un vides attīstības un kultūras mantojuma, tūrisma un drošības veicināšanas pilsētu funkcionālajās teritorijās” 5.1.1.1. pasākums “Infrastruktūra uzņēmējdarbības atbalstam”, gadam 6.1.1. specifiskā atbalsta mērķa “Pārejas uz </w:t>
            </w:r>
            <w:proofErr w:type="spellStart"/>
            <w:r w:rsidRPr="001D34CC">
              <w:rPr>
                <w:rFonts w:cs="Times New Roman"/>
                <w:sz w:val="22"/>
              </w:rPr>
              <w:t>klimatneitralitāti</w:t>
            </w:r>
            <w:proofErr w:type="spellEnd"/>
            <w:r w:rsidRPr="001D34CC">
              <w:rPr>
                <w:rFonts w:cs="Times New Roman"/>
                <w:sz w:val="22"/>
              </w:rPr>
              <w:t xml:space="preserve"> radīto ekonomisko, sociālo un vides seku mazināšana visvairāk skartajos reģionos” 6.1.1.3. pasākums "Atbalsts uzņēmējdarbībai nepieciešamās publiskās infrastruktūras attīstībai, veicinot pāreju uz </w:t>
            </w:r>
            <w:proofErr w:type="spellStart"/>
            <w:r w:rsidRPr="001D34CC">
              <w:rPr>
                <w:rFonts w:cs="Times New Roman"/>
                <w:sz w:val="22"/>
              </w:rPr>
              <w:t>klimatneitrālu</w:t>
            </w:r>
            <w:proofErr w:type="spellEnd"/>
            <w:r w:rsidRPr="001D34CC">
              <w:rPr>
                <w:rFonts w:cs="Times New Roman"/>
                <w:sz w:val="22"/>
              </w:rPr>
              <w:t xml:space="preserve"> ekonomiku", kā arī Atveseļošanas un noturības mehānisma plāna 3.1. reformu un investīciju virziena "Reģionālā politika" 3.1.1.3.i. investīcija "Investīcijas uzņēmējdarbības publiskajā infrastruktūrā industriālo parku un teritoriju attīstīšanai reģionos".</w:t>
            </w:r>
          </w:p>
          <w:p w14:paraId="581B930B" w14:textId="34E4E842" w:rsidR="001D34CC" w:rsidRDefault="001D34CC" w:rsidP="00177D5B">
            <w:pPr>
              <w:pStyle w:val="Standard"/>
              <w:jc w:val="both"/>
              <w:rPr>
                <w:rFonts w:cs="Times New Roman"/>
                <w:sz w:val="22"/>
              </w:rPr>
            </w:pPr>
          </w:p>
          <w:p w14:paraId="4CAF0EF5" w14:textId="63A5EBE2" w:rsidR="001D34CC" w:rsidRDefault="001D34CC" w:rsidP="00177D5B">
            <w:pPr>
              <w:pStyle w:val="Standard"/>
              <w:jc w:val="both"/>
              <w:rPr>
                <w:rFonts w:cs="Times New Roman"/>
                <w:sz w:val="22"/>
              </w:rPr>
            </w:pPr>
            <w:r>
              <w:rPr>
                <w:rFonts w:cs="Times New Roman"/>
                <w:sz w:val="22"/>
              </w:rPr>
              <w:t>Skaidrojam, ka 1.2.1.4. pasākumā nav paredzēts reģionālais kartējums.</w:t>
            </w:r>
          </w:p>
          <w:p w14:paraId="48925A57" w14:textId="77777777" w:rsidR="001D34CC" w:rsidRDefault="001D34CC" w:rsidP="00177D5B">
            <w:pPr>
              <w:pStyle w:val="Standard"/>
              <w:jc w:val="both"/>
              <w:rPr>
                <w:rFonts w:cs="Times New Roman"/>
                <w:sz w:val="22"/>
              </w:rPr>
            </w:pPr>
          </w:p>
          <w:p w14:paraId="0296CACA" w14:textId="35CE5B53" w:rsidR="001D34CC" w:rsidRPr="005E508C" w:rsidRDefault="001D34CC" w:rsidP="00177D5B">
            <w:pPr>
              <w:pStyle w:val="Standard"/>
              <w:jc w:val="both"/>
              <w:rPr>
                <w:rFonts w:cs="Times New Roman"/>
                <w:sz w:val="22"/>
              </w:rPr>
            </w:pPr>
          </w:p>
        </w:tc>
        <w:tc>
          <w:tcPr>
            <w:tcW w:w="1479" w:type="dxa"/>
          </w:tcPr>
          <w:p w14:paraId="6DEE62A6" w14:textId="374AD87F" w:rsidR="00A57181" w:rsidRPr="005E508C" w:rsidRDefault="005D6776" w:rsidP="00177D5B">
            <w:pPr>
              <w:pStyle w:val="Standard"/>
              <w:jc w:val="both"/>
              <w:rPr>
                <w:rFonts w:cs="Times New Roman"/>
                <w:sz w:val="22"/>
              </w:rPr>
            </w:pPr>
            <w:r>
              <w:rPr>
                <w:rFonts w:cs="Times New Roman"/>
                <w:sz w:val="22"/>
              </w:rPr>
              <w:t>-</w:t>
            </w:r>
          </w:p>
        </w:tc>
      </w:tr>
      <w:tr w:rsidR="001D34CC" w:rsidRPr="005E508C" w14:paraId="75001870" w14:textId="77777777" w:rsidTr="005D6776">
        <w:tc>
          <w:tcPr>
            <w:tcW w:w="562" w:type="dxa"/>
          </w:tcPr>
          <w:p w14:paraId="01CD6B52" w14:textId="77777777" w:rsidR="001D34CC" w:rsidRPr="005E508C" w:rsidRDefault="001D34CC" w:rsidP="001D34CC">
            <w:pPr>
              <w:pStyle w:val="Standard"/>
              <w:numPr>
                <w:ilvl w:val="0"/>
                <w:numId w:val="13"/>
              </w:numPr>
              <w:ind w:hanging="1049"/>
              <w:jc w:val="center"/>
              <w:rPr>
                <w:rFonts w:cs="Times New Roman"/>
                <w:sz w:val="22"/>
              </w:rPr>
            </w:pPr>
          </w:p>
        </w:tc>
        <w:tc>
          <w:tcPr>
            <w:tcW w:w="1560" w:type="dxa"/>
          </w:tcPr>
          <w:p w14:paraId="409ACF3A" w14:textId="391ED474" w:rsidR="001D34CC" w:rsidRPr="005E508C" w:rsidRDefault="001D34CC" w:rsidP="001D34CC">
            <w:pPr>
              <w:pStyle w:val="Standard"/>
              <w:jc w:val="both"/>
              <w:rPr>
                <w:rFonts w:cs="Times New Roman"/>
                <w:b/>
                <w:bCs/>
                <w:sz w:val="22"/>
              </w:rPr>
            </w:pPr>
            <w:r w:rsidRPr="005E508C">
              <w:rPr>
                <w:rFonts w:cs="Times New Roman"/>
                <w:b/>
                <w:bCs/>
                <w:sz w:val="22"/>
              </w:rPr>
              <w:t>Vispārīgi</w:t>
            </w:r>
          </w:p>
        </w:tc>
        <w:tc>
          <w:tcPr>
            <w:tcW w:w="3969" w:type="dxa"/>
          </w:tcPr>
          <w:p w14:paraId="7CC4E245" w14:textId="77777777" w:rsidR="001D34CC" w:rsidRPr="005E508C" w:rsidRDefault="001D34CC" w:rsidP="001D34CC">
            <w:pPr>
              <w:pStyle w:val="Standard"/>
              <w:jc w:val="both"/>
              <w:rPr>
                <w:rFonts w:cs="Times New Roman"/>
                <w:b/>
                <w:sz w:val="22"/>
              </w:rPr>
            </w:pPr>
            <w:r w:rsidRPr="005E508C">
              <w:rPr>
                <w:rFonts w:cs="Times New Roman"/>
                <w:b/>
                <w:sz w:val="22"/>
              </w:rPr>
              <w:t>Vides aizsardzības un reģionālās attīstības ministrija</w:t>
            </w:r>
          </w:p>
          <w:p w14:paraId="5DE0C8BE" w14:textId="77777777" w:rsidR="001D34CC" w:rsidRPr="005E508C" w:rsidRDefault="001D34CC" w:rsidP="001D34CC">
            <w:pPr>
              <w:pStyle w:val="Standard"/>
              <w:jc w:val="both"/>
              <w:rPr>
                <w:rFonts w:cs="Times New Roman"/>
                <w:sz w:val="22"/>
              </w:rPr>
            </w:pPr>
          </w:p>
          <w:p w14:paraId="0E0CC4E2" w14:textId="7E01729B" w:rsidR="001D34CC" w:rsidRPr="005E508C" w:rsidRDefault="001D34CC" w:rsidP="001D34CC">
            <w:pPr>
              <w:pStyle w:val="Standard"/>
              <w:jc w:val="both"/>
              <w:rPr>
                <w:rFonts w:cs="Times New Roman"/>
                <w:sz w:val="22"/>
              </w:rPr>
            </w:pPr>
            <w:r w:rsidRPr="005E508C">
              <w:rPr>
                <w:rFonts w:cs="Times New Roman"/>
                <w:sz w:val="22"/>
              </w:rPr>
              <w:t xml:space="preserve">Lūdzam paredzēt kritēriju, kas dotu priekšroku komersantiem, kas ir labuma </w:t>
            </w:r>
            <w:r w:rsidRPr="005E508C">
              <w:rPr>
                <w:rFonts w:cs="Times New Roman"/>
                <w:sz w:val="22"/>
              </w:rPr>
              <w:lastRenderedPageBreak/>
              <w:t>guvēji pašvaldību uzņēmējdarbību infrastruktūru attīstošajos projektos, t.i., primāri tiktu atbalstīti tādi komersanti, kuri lieto vai lietos uzņēmējdarbības infrastruktūru, ko pašvaldība attīstīs, piem., AF 3.1.1.3.i investīcijas “Investīcijas uzņēmējdarbības publiskajā infrastruktūrā industriālo parku un teritoriju attīstīšanai reģionos” vai Kohēzijas politikas programmas 2021.-2027.gadam 5.1.1.1.pasākuma “Infrastruktūra uzņēmējdarbības atbalstam” ietvaros, tādējādi sekmējot koordinētu un mērķtiecīgu investīciju veikšanu uzņēmējdarbības attīstībai reģionos.</w:t>
            </w:r>
          </w:p>
        </w:tc>
        <w:tc>
          <w:tcPr>
            <w:tcW w:w="6378" w:type="dxa"/>
          </w:tcPr>
          <w:p w14:paraId="65A48C92" w14:textId="77777777" w:rsidR="001D34CC" w:rsidRDefault="001D34CC" w:rsidP="001D34CC">
            <w:pPr>
              <w:pStyle w:val="Standard"/>
              <w:jc w:val="both"/>
              <w:rPr>
                <w:rFonts w:cs="Times New Roman"/>
                <w:sz w:val="22"/>
              </w:rPr>
            </w:pPr>
            <w:r>
              <w:rPr>
                <w:rFonts w:cs="Times New Roman"/>
                <w:sz w:val="22"/>
              </w:rPr>
              <w:lastRenderedPageBreak/>
              <w:t>Ekonomikas ministrija, vienojoties ar Vides aizsardzības un reģionālās attīstības ministriju, ir precizējusi 1.2.3.1. pasākuma “</w:t>
            </w:r>
            <w:r w:rsidRPr="001D34CC">
              <w:rPr>
                <w:rFonts w:cs="Times New Roman"/>
                <w:sz w:val="22"/>
              </w:rPr>
              <w:t>Atbalsts MVU inovatīvas uzņēmējdarbības attīstībai</w:t>
            </w:r>
            <w:r>
              <w:rPr>
                <w:rFonts w:cs="Times New Roman"/>
                <w:sz w:val="22"/>
              </w:rPr>
              <w:t xml:space="preserve">” ministru kabineta noteikumu projektu, iekļaujot nosacījumus, ka projekta iesniedzējam jeb Latvijas Investīciju un attīstības aģentūrai biznesa inkubācijas aktivitātes </w:t>
            </w:r>
            <w:r w:rsidRPr="001D34CC">
              <w:rPr>
                <w:rFonts w:cs="Times New Roman"/>
                <w:sz w:val="22"/>
              </w:rPr>
              <w:lastRenderedPageBreak/>
              <w:t xml:space="preserve">ietvaros ir pienākums veidot sadarbību ar zinātnes, mākslas un kultūras, lietišķo zinātņu universitātēm, lietišķo zinātņu augstskolām un pašvaldībām, kā arī industriālajiem parkiem vai industriālajām teritorijām pašvaldībās, kurās tiek īstenoti projekti tādās programmās kā 5.1.1. specifiskā atbalsta mērķa “Vietējās teritorijas integrētās sociālās, ekonomiskās un vides attīstības un kultūras mantojuma, tūrisma un drošības veicināšanas pilsētu funkcionālajās teritorijās” 5.1.1.1. pasākums “Infrastruktūra uzņēmējdarbības atbalstam”, gadam 6.1.1. specifiskā atbalsta mērķa “Pārejas uz </w:t>
            </w:r>
            <w:proofErr w:type="spellStart"/>
            <w:r w:rsidRPr="001D34CC">
              <w:rPr>
                <w:rFonts w:cs="Times New Roman"/>
                <w:sz w:val="22"/>
              </w:rPr>
              <w:t>klimatneitralitāti</w:t>
            </w:r>
            <w:proofErr w:type="spellEnd"/>
            <w:r w:rsidRPr="001D34CC">
              <w:rPr>
                <w:rFonts w:cs="Times New Roman"/>
                <w:sz w:val="22"/>
              </w:rPr>
              <w:t xml:space="preserve"> radīto ekonomisko, sociālo un vides seku mazināšana visvairāk skartajos reģionos” 6.1.1.3. pasākums "Atbalsts uzņēmējdarbībai nepieciešamās publiskās infrastruktūras attīstībai, veicinot pāreju uz </w:t>
            </w:r>
            <w:proofErr w:type="spellStart"/>
            <w:r w:rsidRPr="001D34CC">
              <w:rPr>
                <w:rFonts w:cs="Times New Roman"/>
                <w:sz w:val="22"/>
              </w:rPr>
              <w:t>klimatneitrālu</w:t>
            </w:r>
            <w:proofErr w:type="spellEnd"/>
            <w:r w:rsidRPr="001D34CC">
              <w:rPr>
                <w:rFonts w:cs="Times New Roman"/>
                <w:sz w:val="22"/>
              </w:rPr>
              <w:t xml:space="preserve"> ekonomiku", kā arī Atveseļošanas un noturības mehānisma plāna 3.1. reformu un investīciju virziena "Reģionālā politika" 3.1.1.3.i. investīcija "Investīcijas uzņēmējdarbības publiskajā infrastruktūrā industriālo parku un teritoriju attīstīšanai reģionos".</w:t>
            </w:r>
          </w:p>
          <w:p w14:paraId="74B1A8DC" w14:textId="77777777" w:rsidR="001D34CC" w:rsidRDefault="001D34CC" w:rsidP="001D34CC">
            <w:pPr>
              <w:pStyle w:val="Standard"/>
              <w:jc w:val="both"/>
              <w:rPr>
                <w:rFonts w:cs="Times New Roman"/>
                <w:sz w:val="22"/>
              </w:rPr>
            </w:pPr>
          </w:p>
          <w:p w14:paraId="1AE9D04B" w14:textId="12626202" w:rsidR="001D34CC" w:rsidRPr="005E508C" w:rsidRDefault="001D34CC" w:rsidP="001D34CC">
            <w:pPr>
              <w:pStyle w:val="Standard"/>
              <w:jc w:val="both"/>
              <w:rPr>
                <w:rFonts w:cs="Times New Roman"/>
                <w:sz w:val="22"/>
              </w:rPr>
            </w:pPr>
            <w:r>
              <w:rPr>
                <w:rFonts w:cs="Times New Roman"/>
                <w:sz w:val="22"/>
              </w:rPr>
              <w:t>Skaidrojam, ka 1.2.1.4. pasākumā nav paredzēts reģionālais kartējums.</w:t>
            </w:r>
          </w:p>
        </w:tc>
        <w:tc>
          <w:tcPr>
            <w:tcW w:w="1479" w:type="dxa"/>
          </w:tcPr>
          <w:p w14:paraId="16E89DF2" w14:textId="4C6940CB" w:rsidR="001D34CC" w:rsidRPr="005E508C" w:rsidRDefault="005D6776" w:rsidP="001D34CC">
            <w:pPr>
              <w:pStyle w:val="Standard"/>
              <w:jc w:val="both"/>
              <w:rPr>
                <w:rFonts w:cs="Times New Roman"/>
                <w:sz w:val="22"/>
              </w:rPr>
            </w:pPr>
            <w:r>
              <w:rPr>
                <w:rFonts w:cs="Times New Roman"/>
                <w:sz w:val="22"/>
              </w:rPr>
              <w:lastRenderedPageBreak/>
              <w:t>-</w:t>
            </w:r>
          </w:p>
        </w:tc>
      </w:tr>
      <w:tr w:rsidR="001D34CC" w:rsidRPr="005E508C" w14:paraId="58BE1AF6" w14:textId="77777777" w:rsidTr="005D6776">
        <w:tc>
          <w:tcPr>
            <w:tcW w:w="562" w:type="dxa"/>
          </w:tcPr>
          <w:p w14:paraId="1FB6847D" w14:textId="77777777" w:rsidR="001D34CC" w:rsidRPr="005E508C" w:rsidRDefault="001D34CC" w:rsidP="001D34CC">
            <w:pPr>
              <w:pStyle w:val="Standard"/>
              <w:numPr>
                <w:ilvl w:val="0"/>
                <w:numId w:val="13"/>
              </w:numPr>
              <w:ind w:hanging="1049"/>
              <w:jc w:val="center"/>
              <w:rPr>
                <w:rFonts w:cs="Times New Roman"/>
                <w:sz w:val="22"/>
              </w:rPr>
            </w:pPr>
          </w:p>
        </w:tc>
        <w:tc>
          <w:tcPr>
            <w:tcW w:w="1560" w:type="dxa"/>
          </w:tcPr>
          <w:p w14:paraId="3805765E" w14:textId="7A03F3AB" w:rsidR="001D34CC" w:rsidRPr="005E508C" w:rsidRDefault="001D34CC" w:rsidP="001D34CC">
            <w:pPr>
              <w:pStyle w:val="Standard"/>
              <w:jc w:val="both"/>
              <w:rPr>
                <w:rFonts w:cs="Times New Roman"/>
                <w:b/>
                <w:bCs/>
                <w:sz w:val="22"/>
              </w:rPr>
            </w:pPr>
            <w:r w:rsidRPr="005E508C">
              <w:rPr>
                <w:rFonts w:cs="Times New Roman"/>
                <w:b/>
                <w:bCs/>
                <w:sz w:val="22"/>
              </w:rPr>
              <w:t>Vispārīgi</w:t>
            </w:r>
          </w:p>
        </w:tc>
        <w:tc>
          <w:tcPr>
            <w:tcW w:w="3969" w:type="dxa"/>
          </w:tcPr>
          <w:p w14:paraId="0D0F9CC8" w14:textId="77777777" w:rsidR="001D34CC" w:rsidRPr="005E508C" w:rsidRDefault="001D34CC" w:rsidP="001D34CC">
            <w:pPr>
              <w:pStyle w:val="Standard"/>
              <w:jc w:val="both"/>
              <w:rPr>
                <w:rFonts w:cs="Times New Roman"/>
                <w:b/>
                <w:sz w:val="22"/>
              </w:rPr>
            </w:pPr>
            <w:r w:rsidRPr="005E508C">
              <w:rPr>
                <w:rFonts w:cs="Times New Roman"/>
                <w:b/>
                <w:sz w:val="22"/>
              </w:rPr>
              <w:t>Tieslietu ministrija</w:t>
            </w:r>
          </w:p>
          <w:p w14:paraId="313CEDE8" w14:textId="77777777" w:rsidR="001D34CC" w:rsidRPr="005E508C" w:rsidRDefault="001D34CC" w:rsidP="001D34CC">
            <w:pPr>
              <w:pStyle w:val="Standard"/>
              <w:jc w:val="both"/>
              <w:rPr>
                <w:rFonts w:cs="Times New Roman"/>
                <w:sz w:val="22"/>
              </w:rPr>
            </w:pPr>
          </w:p>
          <w:p w14:paraId="449ACE83" w14:textId="2DF881E3" w:rsidR="001D34CC" w:rsidRPr="005E508C" w:rsidRDefault="001D34CC" w:rsidP="001D34CC">
            <w:pPr>
              <w:pStyle w:val="Standard"/>
              <w:jc w:val="both"/>
              <w:rPr>
                <w:rFonts w:cs="Times New Roman"/>
                <w:sz w:val="22"/>
              </w:rPr>
            </w:pPr>
            <w:r w:rsidRPr="005E508C">
              <w:rPr>
                <w:rFonts w:cs="Times New Roman"/>
                <w:sz w:val="22"/>
              </w:rPr>
              <w:t xml:space="preserve">Izsakām bažas, ka noteikumu projekta (22-TA-2786) saskaņošanas process var būtiski ietekmēt kritēriju un to piemērošanas metodikas redakcijas. Pamatojoties uz minēto, lūdzam izvērtēt Ekonomikas ministrijas 1.2.1.4.pasākuma "Atbalsts tehnoloģiju </w:t>
            </w:r>
            <w:proofErr w:type="spellStart"/>
            <w:r w:rsidRPr="005E508C">
              <w:rPr>
                <w:rFonts w:cs="Times New Roman"/>
                <w:sz w:val="22"/>
              </w:rPr>
              <w:t>pārneses</w:t>
            </w:r>
            <w:proofErr w:type="spellEnd"/>
            <w:r w:rsidRPr="005E508C">
              <w:rPr>
                <w:rFonts w:cs="Times New Roman"/>
                <w:sz w:val="22"/>
              </w:rPr>
              <w:t xml:space="preserve"> sistēmas pilnveidošanai" projekta iesnieguma vērtēšanas kritēriju saskaņošanas lietderību ES fondu 2021.-2027.gada plānošanas perioda Uzraudzības komitejas (UK) rakstiskās procedūras ietveros, ņemot vērā TM un FM būtiskos konceptuālos iebildums par TAP saskaņošanā esošo noteikumu projektu</w:t>
            </w:r>
          </w:p>
        </w:tc>
        <w:tc>
          <w:tcPr>
            <w:tcW w:w="6378" w:type="dxa"/>
          </w:tcPr>
          <w:p w14:paraId="01F153AE" w14:textId="24C85158" w:rsidR="001D34CC" w:rsidRPr="005E508C" w:rsidRDefault="001D34CC" w:rsidP="001D34CC">
            <w:pPr>
              <w:pStyle w:val="Standard"/>
              <w:jc w:val="both"/>
              <w:rPr>
                <w:rFonts w:cs="Times New Roman"/>
                <w:sz w:val="22"/>
              </w:rPr>
            </w:pPr>
            <w:r>
              <w:rPr>
                <w:rFonts w:cs="Times New Roman"/>
                <w:sz w:val="22"/>
              </w:rPr>
              <w:t>Ekonomikas ministrija ir izvērtējusi Tieslietu ministrijas iebildumu un norāda, ka 1.2.1.4. pasākuma ministru kabineta noteikumu projekta saskaņošanas process un normu precizēšana neietekmē vērtē</w:t>
            </w:r>
            <w:bookmarkStart w:id="0" w:name="_GoBack"/>
            <w:bookmarkEnd w:id="0"/>
            <w:r>
              <w:rPr>
                <w:rFonts w:cs="Times New Roman"/>
                <w:sz w:val="22"/>
              </w:rPr>
              <w:t xml:space="preserve">šanas kritērijus finansējuma saņēmējam. </w:t>
            </w:r>
          </w:p>
        </w:tc>
        <w:tc>
          <w:tcPr>
            <w:tcW w:w="1479" w:type="dxa"/>
          </w:tcPr>
          <w:p w14:paraId="2223F6C1" w14:textId="1CF5BA58" w:rsidR="001D34CC" w:rsidRPr="005E508C" w:rsidRDefault="005D6776" w:rsidP="001D34CC">
            <w:pPr>
              <w:pStyle w:val="Standard"/>
              <w:jc w:val="both"/>
              <w:rPr>
                <w:rFonts w:cs="Times New Roman"/>
                <w:sz w:val="22"/>
              </w:rPr>
            </w:pPr>
            <w:r>
              <w:rPr>
                <w:rFonts w:cs="Times New Roman"/>
                <w:sz w:val="22"/>
              </w:rPr>
              <w:t>-</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7"/>
      <w:footerReference w:type="default" r:id="rId8"/>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E2A2" w14:textId="77777777" w:rsidR="002741F4" w:rsidRDefault="002741F4" w:rsidP="00137F01">
      <w:r>
        <w:separator/>
      </w:r>
    </w:p>
  </w:endnote>
  <w:endnote w:type="continuationSeparator" w:id="0">
    <w:p w14:paraId="1F60EFC7" w14:textId="77777777" w:rsidR="002741F4" w:rsidRDefault="002741F4"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0398"/>
      <w:docPartObj>
        <w:docPartGallery w:val="Page Numbers (Bottom of Page)"/>
        <w:docPartUnique/>
      </w:docPartObj>
    </w:sdtPr>
    <w:sdtEndPr>
      <w:rPr>
        <w:noProof/>
      </w:rPr>
    </w:sdtEndPr>
    <w:sdtContent>
      <w:p w14:paraId="717C0BD6" w14:textId="50F0B229" w:rsidR="00A57181" w:rsidRDefault="00A57181">
        <w:pPr>
          <w:pStyle w:val="Footer"/>
          <w:jc w:val="center"/>
        </w:pPr>
        <w:r>
          <w:fldChar w:fldCharType="begin"/>
        </w:r>
        <w:r>
          <w:instrText xml:space="preserve"> PAGE   \* MERGEFORMAT </w:instrText>
        </w:r>
        <w:r>
          <w:fldChar w:fldCharType="separate"/>
        </w:r>
        <w:r w:rsidR="005D6776">
          <w:rPr>
            <w:noProof/>
          </w:rPr>
          <w:t>2</w:t>
        </w:r>
        <w:r>
          <w:rPr>
            <w:noProof/>
          </w:rPr>
          <w:fldChar w:fldCharType="end"/>
        </w:r>
      </w:p>
    </w:sdtContent>
  </w:sdt>
  <w:p w14:paraId="183E44C5" w14:textId="77777777" w:rsidR="00CB746F" w:rsidRDefault="005D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8CF1" w14:textId="77777777" w:rsidR="002741F4" w:rsidRDefault="002741F4" w:rsidP="00137F01">
      <w:r>
        <w:separator/>
      </w:r>
    </w:p>
  </w:footnote>
  <w:footnote w:type="continuationSeparator" w:id="0">
    <w:p w14:paraId="6620B11E" w14:textId="77777777" w:rsidR="002741F4" w:rsidRDefault="002741F4"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D089" w14:textId="1230AB3C" w:rsidR="00CB746F" w:rsidRPr="00137F01" w:rsidRDefault="00177D5B" w:rsidP="00911740">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3-06-07T00:00:00Z">
          <w:dateFormat w:val="dd.MM.yyyy"/>
          <w:lid w:val="lv-LV"/>
          <w:storeMappedDataAs w:val="dateTime"/>
          <w:calendar w:val="gregorian"/>
        </w:date>
      </w:sdtPr>
      <w:sdtEndPr/>
      <w:sdtContent>
        <w:r w:rsidR="005D6776">
          <w:rPr>
            <w:rFonts w:cs="Times New Roman"/>
            <w:i/>
            <w:szCs w:val="24"/>
          </w:rPr>
          <w:t>07.06.2023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1"/>
    <w:rsid w:val="00137F01"/>
    <w:rsid w:val="00177D5B"/>
    <w:rsid w:val="001A78B6"/>
    <w:rsid w:val="001D34CC"/>
    <w:rsid w:val="002741F4"/>
    <w:rsid w:val="003F16D6"/>
    <w:rsid w:val="005D6776"/>
    <w:rsid w:val="005E508C"/>
    <w:rsid w:val="008D5C4D"/>
    <w:rsid w:val="0095483D"/>
    <w:rsid w:val="00A57181"/>
    <w:rsid w:val="00B55104"/>
    <w:rsid w:val="00BA461D"/>
    <w:rsid w:val="00C12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14"/>
    <w:rsid w:val="001375A0"/>
    <w:rsid w:val="00994E0D"/>
    <w:rsid w:val="00DA51A3"/>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3454</Words>
  <Characters>1969</Characters>
  <Application>Microsoft Office Word</Application>
  <DocSecurity>0</DocSecurity>
  <Lines>16</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3</cp:revision>
  <dcterms:created xsi:type="dcterms:W3CDTF">2023-06-07T10:23:00Z</dcterms:created>
  <dcterms:modified xsi:type="dcterms:W3CDTF">2023-06-08T08:41:00Z</dcterms:modified>
</cp:coreProperties>
</file>