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12ACC" w14:textId="31C52802" w:rsidR="00137F01" w:rsidRPr="00A57181" w:rsidRDefault="00137F01" w:rsidP="00B55104">
      <w:pPr>
        <w:pStyle w:val="Standard"/>
        <w:jc w:val="center"/>
        <w:rPr>
          <w:b/>
          <w:szCs w:val="24"/>
        </w:rPr>
      </w:pPr>
      <w:r w:rsidRPr="00A57181">
        <w:rPr>
          <w:b/>
          <w:szCs w:val="24"/>
        </w:rPr>
        <w:t xml:space="preserve">Izziņa ar saņemtajiem komentāriem par </w:t>
      </w:r>
      <w:r w:rsidR="00CF2966">
        <w:rPr>
          <w:b/>
          <w:szCs w:val="24"/>
        </w:rPr>
        <w:t>ES</w:t>
      </w:r>
      <w:r w:rsidRPr="00A57181">
        <w:rPr>
          <w:b/>
          <w:szCs w:val="24"/>
        </w:rPr>
        <w:t xml:space="preserve"> fondu 2021.–2027.gada plānošanas perioda </w:t>
      </w:r>
      <w:r w:rsidR="00B55104">
        <w:rPr>
          <w:b/>
          <w:szCs w:val="24"/>
        </w:rPr>
        <w:t xml:space="preserve">Uzraudzības komitejas rakstiskajā procedūrā </w:t>
      </w:r>
      <w:r w:rsidRPr="00A57181">
        <w:rPr>
          <w:b/>
          <w:szCs w:val="24"/>
        </w:rPr>
        <w:t xml:space="preserve">izskatāmajiem </w:t>
      </w:r>
      <w:r w:rsidR="00CB7E76">
        <w:rPr>
          <w:b/>
          <w:szCs w:val="24"/>
        </w:rPr>
        <w:t>Vides aizsardzības un reģionālās attīstības</w:t>
      </w:r>
      <w:r w:rsidR="00A57181" w:rsidRPr="00A57181">
        <w:rPr>
          <w:b/>
          <w:szCs w:val="24"/>
        </w:rPr>
        <w:t xml:space="preserve"> ministrijas </w:t>
      </w:r>
      <w:r w:rsidR="006D54A0" w:rsidRPr="006D54A0">
        <w:rPr>
          <w:b/>
          <w:szCs w:val="24"/>
        </w:rPr>
        <w:t>2.2.3.5. pasākuma “Gaisa piesārņojuma samazināšanas pasākumi pašvaldībās”</w:t>
      </w:r>
      <w:r w:rsidR="006D54A0">
        <w:rPr>
          <w:b/>
          <w:szCs w:val="24"/>
        </w:rPr>
        <w:t xml:space="preserve"> </w:t>
      </w:r>
      <w:r w:rsidRPr="00A57181">
        <w:rPr>
          <w:b/>
        </w:rPr>
        <w:t>materiāliem</w:t>
      </w:r>
    </w:p>
    <w:p w14:paraId="6EC3D236" w14:textId="6FC082C0" w:rsidR="00137F01" w:rsidRDefault="00137F01" w:rsidP="00137F01">
      <w:pPr>
        <w:pStyle w:val="Standard"/>
        <w:shd w:val="clear" w:color="auto" w:fill="FFFFFF"/>
        <w:jc w:val="center"/>
        <w:rPr>
          <w:szCs w:val="24"/>
        </w:rPr>
      </w:pPr>
    </w:p>
    <w:tbl>
      <w:tblPr>
        <w:tblStyle w:val="TableGrid"/>
        <w:tblW w:w="0" w:type="auto"/>
        <w:tblLook w:val="04A0" w:firstRow="1" w:lastRow="0" w:firstColumn="1" w:lastColumn="0" w:noHBand="0" w:noVBand="1"/>
      </w:tblPr>
      <w:tblGrid>
        <w:gridCol w:w="562"/>
        <w:gridCol w:w="2835"/>
        <w:gridCol w:w="4971"/>
        <w:gridCol w:w="2790"/>
        <w:gridCol w:w="2790"/>
      </w:tblGrid>
      <w:tr w:rsidR="00A57181" w:rsidRPr="001F2133" w14:paraId="1DC85C06" w14:textId="77777777" w:rsidTr="22A7FAC5">
        <w:tc>
          <w:tcPr>
            <w:tcW w:w="562" w:type="dxa"/>
          </w:tcPr>
          <w:p w14:paraId="4BB141E3" w14:textId="76725B81" w:rsidR="00A57181" w:rsidRPr="001F2133" w:rsidRDefault="00A57181" w:rsidP="00137F01">
            <w:pPr>
              <w:pStyle w:val="Standard"/>
              <w:jc w:val="center"/>
              <w:rPr>
                <w:rFonts w:cs="Times New Roman"/>
                <w:b/>
                <w:bCs/>
                <w:sz w:val="22"/>
              </w:rPr>
            </w:pPr>
            <w:r w:rsidRPr="001F2133">
              <w:rPr>
                <w:rFonts w:cs="Times New Roman"/>
                <w:b/>
                <w:bCs/>
                <w:sz w:val="22"/>
              </w:rPr>
              <w:t>Nr.</w:t>
            </w:r>
          </w:p>
        </w:tc>
        <w:tc>
          <w:tcPr>
            <w:tcW w:w="2835" w:type="dxa"/>
          </w:tcPr>
          <w:p w14:paraId="6A3984BE" w14:textId="1C6C92FE" w:rsidR="00A57181" w:rsidRPr="001F2133" w:rsidRDefault="00A57181" w:rsidP="00137F01">
            <w:pPr>
              <w:pStyle w:val="Standard"/>
              <w:jc w:val="center"/>
              <w:rPr>
                <w:rFonts w:cs="Times New Roman"/>
                <w:b/>
                <w:bCs/>
                <w:sz w:val="22"/>
              </w:rPr>
            </w:pPr>
            <w:r w:rsidRPr="001F2133">
              <w:rPr>
                <w:rFonts w:cs="Times New Roman"/>
                <w:b/>
                <w:bCs/>
                <w:sz w:val="22"/>
              </w:rPr>
              <w:t>Materiālu esošā redakcija</w:t>
            </w:r>
          </w:p>
        </w:tc>
        <w:tc>
          <w:tcPr>
            <w:tcW w:w="4971" w:type="dxa"/>
          </w:tcPr>
          <w:p w14:paraId="3BA660B7" w14:textId="17AF2DD9" w:rsidR="00A57181" w:rsidRPr="001F2133" w:rsidRDefault="00A57181" w:rsidP="00A57181">
            <w:pPr>
              <w:pStyle w:val="Standard"/>
              <w:jc w:val="center"/>
              <w:rPr>
                <w:rFonts w:cs="Times New Roman"/>
                <w:b/>
                <w:bCs/>
                <w:sz w:val="22"/>
              </w:rPr>
            </w:pPr>
            <w:r w:rsidRPr="001F2133">
              <w:rPr>
                <w:rFonts w:cs="Times New Roman"/>
                <w:b/>
                <w:bCs/>
                <w:sz w:val="22"/>
              </w:rPr>
              <w:t>AK dalībnieka komentārs</w:t>
            </w:r>
          </w:p>
        </w:tc>
        <w:tc>
          <w:tcPr>
            <w:tcW w:w="2790" w:type="dxa"/>
          </w:tcPr>
          <w:p w14:paraId="78D91156" w14:textId="52B5B91F" w:rsidR="00A57181" w:rsidRPr="001F2133" w:rsidRDefault="00A57181" w:rsidP="00137F01">
            <w:pPr>
              <w:pStyle w:val="Standard"/>
              <w:jc w:val="center"/>
              <w:rPr>
                <w:rFonts w:cs="Times New Roman"/>
                <w:b/>
                <w:bCs/>
                <w:sz w:val="22"/>
              </w:rPr>
            </w:pPr>
            <w:r w:rsidRPr="001F2133">
              <w:rPr>
                <w:rFonts w:cs="Times New Roman"/>
                <w:b/>
                <w:bCs/>
                <w:sz w:val="22"/>
              </w:rPr>
              <w:t>AI viedoklis</w:t>
            </w:r>
          </w:p>
        </w:tc>
        <w:tc>
          <w:tcPr>
            <w:tcW w:w="2790" w:type="dxa"/>
          </w:tcPr>
          <w:p w14:paraId="3A7B0DAC" w14:textId="0C266D42" w:rsidR="00A57181" w:rsidRPr="001F2133" w:rsidRDefault="00A57181" w:rsidP="00137F01">
            <w:pPr>
              <w:pStyle w:val="Standard"/>
              <w:jc w:val="center"/>
              <w:rPr>
                <w:rFonts w:cs="Times New Roman"/>
                <w:b/>
                <w:bCs/>
                <w:sz w:val="22"/>
              </w:rPr>
            </w:pPr>
            <w:r w:rsidRPr="001F2133">
              <w:rPr>
                <w:rFonts w:cs="Times New Roman"/>
                <w:b/>
                <w:bCs/>
                <w:sz w:val="22"/>
              </w:rPr>
              <w:t>Gala redakcija</w:t>
            </w:r>
          </w:p>
        </w:tc>
      </w:tr>
      <w:tr w:rsidR="00A57181" w:rsidRPr="001F2133" w14:paraId="380416C8" w14:textId="77777777" w:rsidTr="22A7FAC5">
        <w:tc>
          <w:tcPr>
            <w:tcW w:w="562" w:type="dxa"/>
          </w:tcPr>
          <w:p w14:paraId="2A7F122C" w14:textId="77777777" w:rsidR="00A57181" w:rsidRPr="001F2133" w:rsidRDefault="00A57181" w:rsidP="00137F01">
            <w:pPr>
              <w:pStyle w:val="Standard"/>
              <w:jc w:val="center"/>
              <w:rPr>
                <w:rFonts w:cs="Times New Roman"/>
                <w:b/>
                <w:bCs/>
                <w:sz w:val="22"/>
              </w:rPr>
            </w:pPr>
          </w:p>
        </w:tc>
        <w:tc>
          <w:tcPr>
            <w:tcW w:w="2835" w:type="dxa"/>
          </w:tcPr>
          <w:p w14:paraId="67E8DA1B" w14:textId="393A3207" w:rsidR="00A57181" w:rsidRPr="001F2133" w:rsidRDefault="00A57181" w:rsidP="00137F01">
            <w:pPr>
              <w:pStyle w:val="Standard"/>
              <w:jc w:val="center"/>
              <w:rPr>
                <w:rFonts w:cs="Times New Roman"/>
                <w:b/>
                <w:bCs/>
                <w:sz w:val="22"/>
              </w:rPr>
            </w:pPr>
            <w:r w:rsidRPr="001F2133">
              <w:rPr>
                <w:rFonts w:cs="Times New Roman"/>
                <w:b/>
                <w:bCs/>
                <w:sz w:val="22"/>
              </w:rPr>
              <w:t>1</w:t>
            </w:r>
          </w:p>
        </w:tc>
        <w:tc>
          <w:tcPr>
            <w:tcW w:w="4971" w:type="dxa"/>
          </w:tcPr>
          <w:p w14:paraId="6B041985" w14:textId="089E011A" w:rsidR="00A57181" w:rsidRPr="001F2133" w:rsidRDefault="00A57181" w:rsidP="00137F01">
            <w:pPr>
              <w:pStyle w:val="Standard"/>
              <w:jc w:val="center"/>
              <w:rPr>
                <w:rFonts w:cs="Times New Roman"/>
                <w:b/>
                <w:bCs/>
                <w:sz w:val="22"/>
              </w:rPr>
            </w:pPr>
            <w:r w:rsidRPr="001F2133">
              <w:rPr>
                <w:rFonts w:cs="Times New Roman"/>
                <w:b/>
                <w:bCs/>
                <w:sz w:val="22"/>
              </w:rPr>
              <w:t>2</w:t>
            </w:r>
          </w:p>
        </w:tc>
        <w:tc>
          <w:tcPr>
            <w:tcW w:w="2790" w:type="dxa"/>
          </w:tcPr>
          <w:p w14:paraId="1753E9BF" w14:textId="309CEBA8" w:rsidR="00A57181" w:rsidRPr="001F2133" w:rsidRDefault="00A57181" w:rsidP="00137F01">
            <w:pPr>
              <w:pStyle w:val="Standard"/>
              <w:jc w:val="center"/>
              <w:rPr>
                <w:rFonts w:cs="Times New Roman"/>
                <w:b/>
                <w:bCs/>
                <w:sz w:val="22"/>
              </w:rPr>
            </w:pPr>
            <w:r w:rsidRPr="001F2133">
              <w:rPr>
                <w:rFonts w:cs="Times New Roman"/>
                <w:b/>
                <w:bCs/>
                <w:sz w:val="22"/>
              </w:rPr>
              <w:t>3</w:t>
            </w:r>
          </w:p>
        </w:tc>
        <w:tc>
          <w:tcPr>
            <w:tcW w:w="2790" w:type="dxa"/>
          </w:tcPr>
          <w:p w14:paraId="093B038E" w14:textId="0F096221" w:rsidR="00A57181" w:rsidRPr="001F2133" w:rsidRDefault="00A57181" w:rsidP="00137F01">
            <w:pPr>
              <w:pStyle w:val="Standard"/>
              <w:jc w:val="center"/>
              <w:rPr>
                <w:rFonts w:cs="Times New Roman"/>
                <w:b/>
                <w:bCs/>
                <w:sz w:val="22"/>
              </w:rPr>
            </w:pPr>
            <w:r w:rsidRPr="001F2133">
              <w:rPr>
                <w:rFonts w:cs="Times New Roman"/>
                <w:b/>
                <w:bCs/>
                <w:sz w:val="22"/>
              </w:rPr>
              <w:t>3</w:t>
            </w:r>
          </w:p>
        </w:tc>
      </w:tr>
      <w:tr w:rsidR="00A57181" w:rsidRPr="001F2133" w14:paraId="5F51158A" w14:textId="77777777" w:rsidTr="22A7FAC5">
        <w:tc>
          <w:tcPr>
            <w:tcW w:w="13948" w:type="dxa"/>
            <w:gridSpan w:val="5"/>
            <w:shd w:val="clear" w:color="auto" w:fill="C5E0B3" w:themeFill="accent6" w:themeFillTint="66"/>
          </w:tcPr>
          <w:p w14:paraId="5E6EE4EC" w14:textId="30665F84" w:rsidR="00A57181" w:rsidRPr="001F2133" w:rsidRDefault="00A57181" w:rsidP="00A57181">
            <w:pPr>
              <w:pStyle w:val="Standard"/>
              <w:jc w:val="both"/>
              <w:rPr>
                <w:rFonts w:cs="Times New Roman"/>
                <w:b/>
                <w:bCs/>
                <w:sz w:val="22"/>
              </w:rPr>
            </w:pPr>
            <w:r w:rsidRPr="001F2133">
              <w:rPr>
                <w:rFonts w:cs="Times New Roman"/>
                <w:b/>
                <w:bCs/>
                <w:sz w:val="22"/>
              </w:rPr>
              <w:t>Par projektu iesniegumu vērtēšanas kritērijiem</w:t>
            </w:r>
          </w:p>
        </w:tc>
      </w:tr>
      <w:tr w:rsidR="00A57181" w:rsidRPr="001F2133" w14:paraId="6D4B6E25" w14:textId="77777777" w:rsidTr="22A7FAC5">
        <w:tc>
          <w:tcPr>
            <w:tcW w:w="562" w:type="dxa"/>
          </w:tcPr>
          <w:p w14:paraId="44B426E0" w14:textId="77777777" w:rsidR="00A57181" w:rsidRPr="001F2133" w:rsidRDefault="00A57181" w:rsidP="00A57181">
            <w:pPr>
              <w:pStyle w:val="Standard"/>
              <w:numPr>
                <w:ilvl w:val="0"/>
                <w:numId w:val="13"/>
              </w:numPr>
              <w:ind w:hanging="1049"/>
              <w:jc w:val="center"/>
              <w:rPr>
                <w:rFonts w:cs="Times New Roman"/>
                <w:sz w:val="22"/>
              </w:rPr>
            </w:pPr>
          </w:p>
        </w:tc>
        <w:tc>
          <w:tcPr>
            <w:tcW w:w="2835" w:type="dxa"/>
          </w:tcPr>
          <w:p w14:paraId="4E442DC0" w14:textId="64377D4A" w:rsidR="00A57181" w:rsidRPr="001F2133" w:rsidRDefault="00CB7E76" w:rsidP="00177D5B">
            <w:pPr>
              <w:pStyle w:val="Standard"/>
              <w:jc w:val="both"/>
              <w:rPr>
                <w:rFonts w:cs="Times New Roman"/>
                <w:b/>
                <w:bCs/>
                <w:sz w:val="22"/>
              </w:rPr>
            </w:pPr>
            <w:r w:rsidRPr="001F2133">
              <w:rPr>
                <w:rFonts w:cs="Times New Roman"/>
                <w:b/>
                <w:bCs/>
                <w:sz w:val="22"/>
              </w:rPr>
              <w:t>Specifiskais atbilstības kritērijs 2.10.</w:t>
            </w:r>
          </w:p>
        </w:tc>
        <w:tc>
          <w:tcPr>
            <w:tcW w:w="4971" w:type="dxa"/>
          </w:tcPr>
          <w:p w14:paraId="0EC0C693" w14:textId="77777777" w:rsidR="00CB7E76" w:rsidRPr="001F2133" w:rsidRDefault="00CB7E76" w:rsidP="00177D5B">
            <w:pPr>
              <w:pStyle w:val="Standard"/>
              <w:jc w:val="both"/>
              <w:rPr>
                <w:rFonts w:cs="Times New Roman"/>
                <w:b/>
                <w:bCs/>
                <w:sz w:val="22"/>
              </w:rPr>
            </w:pPr>
            <w:r w:rsidRPr="001F2133">
              <w:rPr>
                <w:rFonts w:cs="Times New Roman"/>
                <w:b/>
                <w:bCs/>
                <w:sz w:val="22"/>
              </w:rPr>
              <w:t>Vides konsultatīvā padome</w:t>
            </w:r>
          </w:p>
          <w:p w14:paraId="4352CA7C" w14:textId="77777777" w:rsidR="00CB7E76" w:rsidRPr="001F2133" w:rsidRDefault="00CB7E76" w:rsidP="00177D5B">
            <w:pPr>
              <w:pStyle w:val="Standard"/>
              <w:jc w:val="both"/>
              <w:rPr>
                <w:rFonts w:cs="Times New Roman"/>
                <w:sz w:val="22"/>
              </w:rPr>
            </w:pPr>
          </w:p>
          <w:p w14:paraId="2CAA0913" w14:textId="77777777" w:rsidR="00CB7E76" w:rsidRPr="001F2133" w:rsidRDefault="00CB7E76" w:rsidP="00CB7E76">
            <w:pPr>
              <w:pStyle w:val="Standard"/>
              <w:jc w:val="both"/>
              <w:rPr>
                <w:sz w:val="22"/>
              </w:rPr>
            </w:pPr>
            <w:r w:rsidRPr="001F2133">
              <w:rPr>
                <w:sz w:val="22"/>
              </w:rPr>
              <w:t>Specifiskais atbilstības kritērijs 2.10. nosaka sekojošu prasību “Ja darbības projekta ietvaros ir plānotas īpaši aizsargājamās dabas teritorijās, tad tās ir saskaņā ar konkrētās teritorijas dabas aizsardzības plānu un netiek pieļauta biotopu un sugu stāvokļa pasliktināšanās.”</w:t>
            </w:r>
          </w:p>
          <w:p w14:paraId="122AE8C2" w14:textId="77777777" w:rsidR="00CB7E76" w:rsidRPr="001F2133" w:rsidRDefault="00CB7E76" w:rsidP="00CB7E76">
            <w:pPr>
              <w:pStyle w:val="Standard"/>
              <w:jc w:val="both"/>
              <w:rPr>
                <w:sz w:val="22"/>
              </w:rPr>
            </w:pPr>
          </w:p>
          <w:p w14:paraId="13301F90" w14:textId="77777777" w:rsidR="00CB7E76" w:rsidRPr="001F2133" w:rsidRDefault="00CB7E76" w:rsidP="00CB7E76">
            <w:pPr>
              <w:pStyle w:val="Standard"/>
              <w:jc w:val="both"/>
              <w:rPr>
                <w:sz w:val="22"/>
              </w:rPr>
            </w:pPr>
            <w:r w:rsidRPr="001F2133">
              <w:rPr>
                <w:sz w:val="22"/>
              </w:rPr>
              <w:t>Tomēr, lai princips “Nenodarīt būtisku kaitējumu” tiktu ievērots pilnvērtīgi un pēc būtības, šo kritēriju nevajadzētu ierobežot tikai uz īpaši aizsargājamām dabas teritorijām, ņemot vērā to, ka arī ārpus šīm teritorijām eksistē dabas daudzveidībai nozīmīgas vērtības, piemēram, Eiropas nozīmes biotopu un sugu atradnes.</w:t>
            </w:r>
          </w:p>
          <w:p w14:paraId="38379CEC" w14:textId="77777777" w:rsidR="00CB7E76" w:rsidRPr="001F2133" w:rsidRDefault="00CB7E76" w:rsidP="00CB7E76">
            <w:pPr>
              <w:pStyle w:val="Standard"/>
              <w:jc w:val="both"/>
              <w:rPr>
                <w:sz w:val="22"/>
              </w:rPr>
            </w:pPr>
          </w:p>
          <w:p w14:paraId="488BD9C2" w14:textId="77777777" w:rsidR="00CB7E76" w:rsidRPr="001F2133" w:rsidRDefault="00CB7E76" w:rsidP="00CB7E76">
            <w:pPr>
              <w:pStyle w:val="Standard"/>
              <w:jc w:val="both"/>
              <w:rPr>
                <w:sz w:val="22"/>
              </w:rPr>
            </w:pPr>
            <w:r w:rsidRPr="001F2133">
              <w:rPr>
                <w:sz w:val="22"/>
              </w:rPr>
              <w:t>Attiecīgi ierosinām specifisko atbilstības kritēriju 2.10. papildināt ar šādu vai līdzvērtīgu tekstu:</w:t>
            </w:r>
          </w:p>
          <w:p w14:paraId="382DC104" w14:textId="77777777" w:rsidR="00CB7E76" w:rsidRPr="001F2133" w:rsidRDefault="00CB7E76" w:rsidP="00CB7E76">
            <w:pPr>
              <w:pStyle w:val="Standard"/>
              <w:jc w:val="both"/>
              <w:rPr>
                <w:sz w:val="22"/>
              </w:rPr>
            </w:pPr>
            <w:r w:rsidRPr="001F2133">
              <w:rPr>
                <w:sz w:val="22"/>
              </w:rPr>
              <w:t>“Darbībām, kas projekta ietvaros tiek plānotas ārpus īpaši aizsargājamām dabas teritorijās, jābūt plānotiem tā, ka tiek minimizēta negatīvā ietekme uz Eiropas Savienības nozīmes aizsargājamajiem biotopiem, kā arī retām un aizsargājamām sugām (ja attiecināms)”.</w:t>
            </w:r>
          </w:p>
          <w:p w14:paraId="4E52929D" w14:textId="77777777" w:rsidR="00CB7E76" w:rsidRPr="001F2133" w:rsidRDefault="00CB7E76" w:rsidP="00CB7E76">
            <w:pPr>
              <w:pStyle w:val="Standard"/>
              <w:jc w:val="both"/>
              <w:rPr>
                <w:sz w:val="22"/>
              </w:rPr>
            </w:pPr>
          </w:p>
          <w:p w14:paraId="289BF871" w14:textId="50CF7AE8" w:rsidR="00CB7E76" w:rsidRPr="001F2133" w:rsidRDefault="00CB7E76" w:rsidP="00CB7E76">
            <w:pPr>
              <w:pStyle w:val="Standard"/>
              <w:jc w:val="both"/>
              <w:rPr>
                <w:rFonts w:cs="Times New Roman"/>
                <w:sz w:val="22"/>
              </w:rPr>
            </w:pPr>
            <w:r w:rsidRPr="001F2133">
              <w:rPr>
                <w:rFonts w:cs="Times New Roman"/>
                <w:sz w:val="22"/>
              </w:rPr>
              <w:t>Attiecīgi ir papildināmi kritērija īstenošanās scenāriji (“Jā”, “Jā, ar nosacījumu”, “Nē”, “N/A”).</w:t>
            </w:r>
          </w:p>
        </w:tc>
        <w:tc>
          <w:tcPr>
            <w:tcW w:w="2790" w:type="dxa"/>
          </w:tcPr>
          <w:p w14:paraId="22129049" w14:textId="4521CFA6" w:rsidR="00214A28" w:rsidRDefault="009C5135" w:rsidP="00177D5B">
            <w:pPr>
              <w:pStyle w:val="Standard"/>
              <w:jc w:val="both"/>
              <w:rPr>
                <w:rFonts w:cs="Times New Roman"/>
                <w:b/>
                <w:bCs/>
                <w:sz w:val="22"/>
              </w:rPr>
            </w:pPr>
            <w:r w:rsidRPr="009C5135">
              <w:rPr>
                <w:rFonts w:cs="Times New Roman"/>
                <w:b/>
                <w:bCs/>
                <w:sz w:val="22"/>
              </w:rPr>
              <w:t>Ņemts vērā</w:t>
            </w:r>
            <w:r w:rsidR="00975CAB">
              <w:rPr>
                <w:rFonts w:cs="Times New Roman"/>
                <w:b/>
                <w:bCs/>
                <w:sz w:val="22"/>
              </w:rPr>
              <w:t xml:space="preserve"> papildinot </w:t>
            </w:r>
            <w:r w:rsidR="00EB1122">
              <w:rPr>
                <w:rFonts w:cs="Times New Roman"/>
                <w:b/>
                <w:bCs/>
                <w:sz w:val="22"/>
              </w:rPr>
              <w:t>kritēriju piemērošanas metodiku</w:t>
            </w:r>
            <w:r w:rsidR="009923EF">
              <w:rPr>
                <w:rFonts w:cs="Times New Roman"/>
                <w:b/>
                <w:bCs/>
                <w:sz w:val="22"/>
              </w:rPr>
              <w:t>.</w:t>
            </w:r>
          </w:p>
          <w:p w14:paraId="01202138" w14:textId="68451EF0" w:rsidR="00B16919" w:rsidRPr="002C5C05" w:rsidRDefault="00B16919" w:rsidP="22A7FAC5">
            <w:pPr>
              <w:pStyle w:val="Standard"/>
              <w:jc w:val="both"/>
              <w:rPr>
                <w:rFonts w:cs="Times New Roman"/>
                <w:sz w:val="22"/>
              </w:rPr>
            </w:pPr>
            <w:r w:rsidRPr="22A7FAC5">
              <w:rPr>
                <w:rFonts w:cs="Times New Roman"/>
                <w:sz w:val="22"/>
              </w:rPr>
              <w:t xml:space="preserve">Vēršam uzmanību, ka </w:t>
            </w:r>
            <w:r w:rsidR="002C5C05" w:rsidRPr="22A7FAC5">
              <w:rPr>
                <w:rFonts w:cs="Times New Roman"/>
                <w:sz w:val="22"/>
              </w:rPr>
              <w:t>nav nepieciešams veikt grozījumu kritērija nosaukumā, jo</w:t>
            </w:r>
            <w:r w:rsidR="00BF6A89" w:rsidRPr="22A7FAC5">
              <w:rPr>
                <w:rFonts w:cs="Times New Roman"/>
                <w:sz w:val="22"/>
              </w:rPr>
              <w:t xml:space="preserve"> projektu iesniegumu vērtēšanas kritēriju piemērošanas metodikā</w:t>
            </w:r>
            <w:r w:rsidR="00FB5450" w:rsidRPr="22A7FAC5">
              <w:rPr>
                <w:rFonts w:cs="Times New Roman"/>
                <w:sz w:val="22"/>
              </w:rPr>
              <w:t xml:space="preserve"> tiek </w:t>
            </w:r>
            <w:r w:rsidR="005967D3" w:rsidRPr="22A7FAC5">
              <w:rPr>
                <w:rFonts w:cs="Times New Roman"/>
                <w:sz w:val="22"/>
              </w:rPr>
              <w:t>papildināts skaidrojums</w:t>
            </w:r>
            <w:r w:rsidR="6213854D" w:rsidRPr="22A7FAC5">
              <w:rPr>
                <w:rFonts w:cs="Times New Roman"/>
                <w:sz w:val="22"/>
              </w:rPr>
              <w:t xml:space="preserve"> arī par</w:t>
            </w:r>
            <w:r w:rsidR="00FB5450" w:rsidRPr="22A7FAC5">
              <w:rPr>
                <w:rFonts w:cs="Times New Roman"/>
                <w:sz w:val="22"/>
              </w:rPr>
              <w:t xml:space="preserve"> Eiropas Savienības nozīmes biotopu</w:t>
            </w:r>
            <w:r w:rsidR="592B87A2" w:rsidRPr="22A7FAC5">
              <w:rPr>
                <w:rFonts w:cs="Times New Roman"/>
                <w:sz w:val="22"/>
              </w:rPr>
              <w:t xml:space="preserve"> un sugu dzīvotņu stāvokļa nepasliktināšanu ārpus  īpaši aizsargājamām dabas</w:t>
            </w:r>
            <w:r w:rsidR="00FB5450" w:rsidRPr="22A7FAC5">
              <w:rPr>
                <w:rFonts w:cs="Times New Roman"/>
                <w:sz w:val="22"/>
              </w:rPr>
              <w:t xml:space="preserve"> teritorijā</w:t>
            </w:r>
            <w:r w:rsidR="00C21388" w:rsidRPr="22A7FAC5">
              <w:rPr>
                <w:rFonts w:cs="Times New Roman"/>
                <w:sz w:val="22"/>
              </w:rPr>
              <w:t>m</w:t>
            </w:r>
            <w:r w:rsidR="00867B9E" w:rsidRPr="22A7FAC5">
              <w:rPr>
                <w:rFonts w:cs="Times New Roman"/>
                <w:sz w:val="22"/>
              </w:rPr>
              <w:t xml:space="preserve">. </w:t>
            </w:r>
            <w:r w:rsidR="3AC1E2D0" w:rsidRPr="22A7FAC5">
              <w:rPr>
                <w:rFonts w:cs="Times New Roman"/>
                <w:sz w:val="22"/>
              </w:rPr>
              <w:t>Skaidrojam, ka</w:t>
            </w:r>
            <w:r w:rsidR="00FB5450" w:rsidRPr="22A7FAC5">
              <w:rPr>
                <w:rFonts w:cs="Times New Roman"/>
                <w:sz w:val="22"/>
              </w:rPr>
              <w:t xml:space="preserve">  </w:t>
            </w:r>
            <w:r w:rsidRPr="22A7FAC5">
              <w:rPr>
                <w:rFonts w:cs="Times New Roman"/>
                <w:sz w:val="22"/>
              </w:rPr>
              <w:t>prasības</w:t>
            </w:r>
            <w:r w:rsidR="00485060" w:rsidRPr="22A7FAC5">
              <w:rPr>
                <w:rFonts w:cs="Times New Roman"/>
                <w:sz w:val="22"/>
              </w:rPr>
              <w:t>,</w:t>
            </w:r>
            <w:r w:rsidRPr="22A7FAC5">
              <w:rPr>
                <w:rFonts w:cs="Times New Roman"/>
                <w:sz w:val="22"/>
              </w:rPr>
              <w:t xml:space="preserve"> </w:t>
            </w:r>
            <w:r w:rsidR="00485060" w:rsidRPr="22A7FAC5">
              <w:rPr>
                <w:rFonts w:cs="Times New Roman"/>
                <w:sz w:val="22"/>
              </w:rPr>
              <w:t xml:space="preserve">ka tiek minimizēta negatīvā ietekme uz Eiropas Savienības nozīmes aizsargājamajiem biotopiem, kā arī retām un aizsargājamām sugām (ja attiecināms) </w:t>
            </w:r>
            <w:r w:rsidR="00867B9E" w:rsidRPr="22A7FAC5">
              <w:rPr>
                <w:rFonts w:cs="Times New Roman"/>
                <w:sz w:val="22"/>
              </w:rPr>
              <w:t>tiek izpildīta</w:t>
            </w:r>
            <w:r w:rsidR="0A6FAAE9" w:rsidRPr="22A7FAC5">
              <w:rPr>
                <w:rFonts w:cs="Times New Roman"/>
                <w:sz w:val="22"/>
              </w:rPr>
              <w:t xml:space="preserve"> </w:t>
            </w:r>
            <w:r w:rsidRPr="22A7FAC5">
              <w:rPr>
                <w:rFonts w:cs="Times New Roman"/>
                <w:sz w:val="22"/>
              </w:rPr>
              <w:t xml:space="preserve"> </w:t>
            </w:r>
            <w:r w:rsidR="00867B9E" w:rsidRPr="22A7FAC5">
              <w:rPr>
                <w:rFonts w:cs="Times New Roman"/>
                <w:sz w:val="22"/>
              </w:rPr>
              <w:t xml:space="preserve">norādot, ka </w:t>
            </w:r>
            <w:r w:rsidRPr="22A7FAC5">
              <w:rPr>
                <w:rFonts w:cs="Times New Roman"/>
                <w:sz w:val="22"/>
              </w:rPr>
              <w:t>netiek pieļauta biotopu un sugu stāvokļa pasliktināšanās.</w:t>
            </w:r>
          </w:p>
          <w:p w14:paraId="0296CACA" w14:textId="612CA465" w:rsidR="009A7191" w:rsidRPr="009C5135" w:rsidRDefault="009A7191" w:rsidP="00177D5B">
            <w:pPr>
              <w:pStyle w:val="Standard"/>
              <w:jc w:val="both"/>
              <w:rPr>
                <w:rFonts w:cs="Times New Roman"/>
                <w:b/>
                <w:bCs/>
                <w:sz w:val="22"/>
              </w:rPr>
            </w:pPr>
          </w:p>
        </w:tc>
        <w:tc>
          <w:tcPr>
            <w:tcW w:w="2790" w:type="dxa"/>
          </w:tcPr>
          <w:p w14:paraId="6DEE62A6" w14:textId="117E4054" w:rsidR="001F4D0D" w:rsidRPr="001F2133" w:rsidRDefault="00D9619A" w:rsidP="00177D5B">
            <w:pPr>
              <w:pStyle w:val="Standard"/>
              <w:jc w:val="both"/>
              <w:rPr>
                <w:rFonts w:cs="Times New Roman"/>
                <w:sz w:val="22"/>
              </w:rPr>
            </w:pPr>
            <w:r w:rsidRPr="00D9619A">
              <w:rPr>
                <w:rFonts w:cs="Times New Roman"/>
                <w:sz w:val="22"/>
              </w:rPr>
              <w:t>Lūdzam skatīt precizēto redakciju projektu iesniegumu vērtēšanas kritēriju piemērošanas metodikā</w:t>
            </w:r>
            <w:r w:rsidR="00052E61">
              <w:rPr>
                <w:rFonts w:cs="Times New Roman"/>
                <w:sz w:val="22"/>
              </w:rPr>
              <w:t>.</w:t>
            </w:r>
            <w:r w:rsidRPr="00D9619A">
              <w:rPr>
                <w:rFonts w:cs="Times New Roman"/>
                <w:sz w:val="22"/>
              </w:rPr>
              <w:t xml:space="preserve"> </w:t>
            </w:r>
          </w:p>
        </w:tc>
      </w:tr>
    </w:tbl>
    <w:p w14:paraId="4764F384" w14:textId="06DEDADC" w:rsidR="00A57181" w:rsidRDefault="00A57181" w:rsidP="00137F01">
      <w:pPr>
        <w:pStyle w:val="Standard"/>
        <w:shd w:val="clear" w:color="auto" w:fill="FFFFFF"/>
        <w:jc w:val="center"/>
        <w:rPr>
          <w:szCs w:val="24"/>
        </w:rPr>
      </w:pPr>
    </w:p>
    <w:p w14:paraId="46F21B0E" w14:textId="77777777" w:rsidR="00137F01" w:rsidRDefault="00137F01" w:rsidP="00137F01"/>
    <w:p w14:paraId="69EB424D" w14:textId="77777777" w:rsidR="0095483D" w:rsidRDefault="0095483D"/>
    <w:sectPr w:rsidR="0095483D" w:rsidSect="00A57181">
      <w:headerReference w:type="default" r:id="rId7"/>
      <w:footerReference w:type="default" r:id="rId8"/>
      <w:pgSz w:w="16838" w:h="11906" w:orient="landscape"/>
      <w:pgMar w:top="1134" w:right="1440" w:bottom="993" w:left="1440" w:header="708" w:footer="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E7FF6" w14:textId="77777777" w:rsidR="00485DDA" w:rsidRDefault="00485DDA" w:rsidP="00137F01">
      <w:r>
        <w:separator/>
      </w:r>
    </w:p>
  </w:endnote>
  <w:endnote w:type="continuationSeparator" w:id="0">
    <w:p w14:paraId="51947477" w14:textId="77777777" w:rsidR="00485DDA" w:rsidRDefault="00485DDA" w:rsidP="00137F01">
      <w:r>
        <w:continuationSeparator/>
      </w:r>
    </w:p>
  </w:endnote>
  <w:endnote w:type="continuationNotice" w:id="1">
    <w:p w14:paraId="44FA5EF3" w14:textId="77777777" w:rsidR="00B51DA5" w:rsidRDefault="00B51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Helvetica">
    <w:panose1 w:val="020B0604020202020204"/>
    <w:charset w:val="BA"/>
    <w:family w:val="swiss"/>
    <w:pitch w:val="variable"/>
    <w:sig w:usb0="E0002EFF" w:usb1="C000785B" w:usb2="00000009" w:usb3="00000000" w:csb0="000001FF" w:csb1="00000000"/>
  </w:font>
  <w:font w:name="ヒラギノ角ゴ Pro W3">
    <w:altName w:val="MS Mincho"/>
    <w:charset w:val="00"/>
    <w:family w:val="roman"/>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40398"/>
      <w:docPartObj>
        <w:docPartGallery w:val="Page Numbers (Bottom of Page)"/>
        <w:docPartUnique/>
      </w:docPartObj>
    </w:sdtPr>
    <w:sdtEndPr>
      <w:rPr>
        <w:noProof/>
      </w:rPr>
    </w:sdtEndPr>
    <w:sdtContent>
      <w:p w14:paraId="717C0BD6" w14:textId="412878A1" w:rsidR="00A57181" w:rsidRDefault="00A57181">
        <w:pPr>
          <w:pStyle w:val="Footer"/>
          <w:jc w:val="center"/>
        </w:pPr>
        <w:r>
          <w:fldChar w:fldCharType="begin"/>
        </w:r>
        <w:r>
          <w:instrText xml:space="preserve"> PAGE   \* MERGEFORMAT </w:instrText>
        </w:r>
        <w:r>
          <w:fldChar w:fldCharType="separate"/>
        </w:r>
        <w:r w:rsidR="00CF2966">
          <w:rPr>
            <w:noProof/>
          </w:rPr>
          <w:t>1</w:t>
        </w:r>
        <w:r>
          <w:rPr>
            <w:noProof/>
          </w:rPr>
          <w:fldChar w:fldCharType="end"/>
        </w:r>
      </w:p>
    </w:sdtContent>
  </w:sdt>
  <w:p w14:paraId="183E44C5" w14:textId="77777777" w:rsidR="001F2133" w:rsidRDefault="001F2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F73F7" w14:textId="77777777" w:rsidR="00485DDA" w:rsidRDefault="00485DDA" w:rsidP="00137F01">
      <w:r>
        <w:separator/>
      </w:r>
    </w:p>
  </w:footnote>
  <w:footnote w:type="continuationSeparator" w:id="0">
    <w:p w14:paraId="59EA86E9" w14:textId="77777777" w:rsidR="00485DDA" w:rsidRDefault="00485DDA" w:rsidP="00137F01">
      <w:r>
        <w:continuationSeparator/>
      </w:r>
    </w:p>
  </w:footnote>
  <w:footnote w:type="continuationNotice" w:id="1">
    <w:p w14:paraId="65DA4AB6" w14:textId="77777777" w:rsidR="00B51DA5" w:rsidRDefault="00B51D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D089" w14:textId="51DC8A25" w:rsidR="001F2133" w:rsidRPr="00137F01" w:rsidRDefault="00177D5B" w:rsidP="00086069">
    <w:pPr>
      <w:pStyle w:val="Header"/>
      <w:jc w:val="right"/>
      <w:rPr>
        <w:rFonts w:cs="Times New Roman"/>
        <w:i/>
        <w:szCs w:val="24"/>
      </w:rPr>
    </w:pPr>
    <w:r>
      <w:rPr>
        <w:rFonts w:cs="Times New Roman"/>
        <w:i/>
        <w:szCs w:val="24"/>
      </w:rPr>
      <w:t>Aktualizēts</w:t>
    </w:r>
    <w:r w:rsidR="00A57181" w:rsidRPr="00137F01">
      <w:rPr>
        <w:rFonts w:cs="Times New Roman"/>
        <w:i/>
        <w:szCs w:val="24"/>
      </w:rPr>
      <w:t xml:space="preserve"> </w:t>
    </w:r>
    <w:sdt>
      <w:sdtPr>
        <w:rPr>
          <w:rFonts w:cs="Times New Roman"/>
          <w:i/>
          <w:szCs w:val="24"/>
        </w:rPr>
        <w:id w:val="133991113"/>
        <w:placeholder>
          <w:docPart w:val="DefaultPlaceholder_-1854013437"/>
        </w:placeholder>
        <w:date w:fullDate="2023-10-03T00:00:00Z">
          <w:dateFormat w:val="dd.MM.yyyy"/>
          <w:lid w:val="lv-LV"/>
          <w:storeMappedDataAs w:val="dateTime"/>
          <w:calendar w:val="gregorian"/>
        </w:date>
      </w:sdtPr>
      <w:sdtEndPr/>
      <w:sdtContent>
        <w:r w:rsidR="00086069">
          <w:rPr>
            <w:rFonts w:cs="Times New Roman"/>
            <w:i/>
            <w:szCs w:val="24"/>
          </w:rPr>
          <w:t>03.10.2023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12A0A"/>
    <w:multiLevelType w:val="hybridMultilevel"/>
    <w:tmpl w:val="D810A0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E507D2"/>
    <w:multiLevelType w:val="hybridMultilevel"/>
    <w:tmpl w:val="7200F726"/>
    <w:lvl w:ilvl="0" w:tplc="3282FA42">
      <w:start w:val="8"/>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FDC042C"/>
    <w:multiLevelType w:val="hybridMultilevel"/>
    <w:tmpl w:val="8ED05C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36A5972"/>
    <w:multiLevelType w:val="hybridMultilevel"/>
    <w:tmpl w:val="2248A7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744EC1"/>
    <w:multiLevelType w:val="hybridMultilevel"/>
    <w:tmpl w:val="A79449C8"/>
    <w:lvl w:ilvl="0" w:tplc="04260011">
      <w:start w:val="1"/>
      <w:numFmt w:val="decimal"/>
      <w:lvlText w:val="%1)"/>
      <w:lvlJc w:val="left"/>
      <w:pPr>
        <w:ind w:left="720" w:hanging="360"/>
      </w:pPr>
    </w:lvl>
    <w:lvl w:ilvl="1" w:tplc="1072324E">
      <w:start w:val="1"/>
      <w:numFmt w:val="lowerLetter"/>
      <w:lvlText w:val="%2)"/>
      <w:lvlJc w:val="left"/>
      <w:pPr>
        <w:ind w:left="1440" w:hanging="360"/>
      </w:pPr>
      <w:rPr>
        <w:rFonts w:ascii="Calibri" w:eastAsia="Calibri" w:hAnsi="Calibri" w:cs="Times New Roman"/>
        <w:b w:val="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13C7F74"/>
    <w:multiLevelType w:val="hybridMultilevel"/>
    <w:tmpl w:val="18500E1E"/>
    <w:lvl w:ilvl="0" w:tplc="D6C6FF88">
      <w:start w:val="1"/>
      <w:numFmt w:val="decimal"/>
      <w:lvlText w:val="%1."/>
      <w:lvlJc w:val="left"/>
      <w:pPr>
        <w:ind w:left="786" w:hanging="360"/>
      </w:pPr>
      <w:rPr>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36F930FB"/>
    <w:multiLevelType w:val="hybridMultilevel"/>
    <w:tmpl w:val="8C563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FB0711"/>
    <w:multiLevelType w:val="hybridMultilevel"/>
    <w:tmpl w:val="698EF84C"/>
    <w:lvl w:ilvl="0" w:tplc="9A38D60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207A07"/>
    <w:multiLevelType w:val="hybridMultilevel"/>
    <w:tmpl w:val="C6F4F66E"/>
    <w:lvl w:ilvl="0" w:tplc="7ECCF8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4B4850F6"/>
    <w:multiLevelType w:val="hybridMultilevel"/>
    <w:tmpl w:val="4630107A"/>
    <w:lvl w:ilvl="0" w:tplc="0426000B">
      <w:start w:val="1"/>
      <w:numFmt w:val="bullet"/>
      <w:lvlText w:val=""/>
      <w:lvlJc w:val="left"/>
      <w:pPr>
        <w:ind w:left="733" w:hanging="360"/>
      </w:pPr>
      <w:rPr>
        <w:rFonts w:ascii="Wingdings" w:hAnsi="Wingdings" w:hint="default"/>
      </w:rPr>
    </w:lvl>
    <w:lvl w:ilvl="1" w:tplc="04260003">
      <w:start w:val="1"/>
      <w:numFmt w:val="bullet"/>
      <w:lvlText w:val="o"/>
      <w:lvlJc w:val="left"/>
      <w:pPr>
        <w:ind w:left="1453" w:hanging="360"/>
      </w:pPr>
      <w:rPr>
        <w:rFonts w:ascii="Courier New" w:hAnsi="Courier New" w:cs="Courier New" w:hint="default"/>
      </w:rPr>
    </w:lvl>
    <w:lvl w:ilvl="2" w:tplc="04260005">
      <w:start w:val="1"/>
      <w:numFmt w:val="bullet"/>
      <w:lvlText w:val=""/>
      <w:lvlJc w:val="left"/>
      <w:pPr>
        <w:ind w:left="2173" w:hanging="360"/>
      </w:pPr>
      <w:rPr>
        <w:rFonts w:ascii="Wingdings" w:hAnsi="Wingdings" w:hint="default"/>
      </w:rPr>
    </w:lvl>
    <w:lvl w:ilvl="3" w:tplc="04260001">
      <w:start w:val="1"/>
      <w:numFmt w:val="bullet"/>
      <w:lvlText w:val=""/>
      <w:lvlJc w:val="left"/>
      <w:pPr>
        <w:ind w:left="2893" w:hanging="360"/>
      </w:pPr>
      <w:rPr>
        <w:rFonts w:ascii="Symbol" w:hAnsi="Symbol" w:hint="default"/>
      </w:rPr>
    </w:lvl>
    <w:lvl w:ilvl="4" w:tplc="04260003">
      <w:start w:val="1"/>
      <w:numFmt w:val="bullet"/>
      <w:lvlText w:val="o"/>
      <w:lvlJc w:val="left"/>
      <w:pPr>
        <w:ind w:left="3613" w:hanging="360"/>
      </w:pPr>
      <w:rPr>
        <w:rFonts w:ascii="Courier New" w:hAnsi="Courier New" w:cs="Courier New" w:hint="default"/>
      </w:rPr>
    </w:lvl>
    <w:lvl w:ilvl="5" w:tplc="04260005">
      <w:start w:val="1"/>
      <w:numFmt w:val="bullet"/>
      <w:lvlText w:val=""/>
      <w:lvlJc w:val="left"/>
      <w:pPr>
        <w:ind w:left="4333" w:hanging="360"/>
      </w:pPr>
      <w:rPr>
        <w:rFonts w:ascii="Wingdings" w:hAnsi="Wingdings" w:hint="default"/>
      </w:rPr>
    </w:lvl>
    <w:lvl w:ilvl="6" w:tplc="04260001">
      <w:start w:val="1"/>
      <w:numFmt w:val="bullet"/>
      <w:lvlText w:val=""/>
      <w:lvlJc w:val="left"/>
      <w:pPr>
        <w:ind w:left="5053" w:hanging="360"/>
      </w:pPr>
      <w:rPr>
        <w:rFonts w:ascii="Symbol" w:hAnsi="Symbol" w:hint="default"/>
      </w:rPr>
    </w:lvl>
    <w:lvl w:ilvl="7" w:tplc="04260003">
      <w:start w:val="1"/>
      <w:numFmt w:val="bullet"/>
      <w:lvlText w:val="o"/>
      <w:lvlJc w:val="left"/>
      <w:pPr>
        <w:ind w:left="5773" w:hanging="360"/>
      </w:pPr>
      <w:rPr>
        <w:rFonts w:ascii="Courier New" w:hAnsi="Courier New" w:cs="Courier New" w:hint="default"/>
      </w:rPr>
    </w:lvl>
    <w:lvl w:ilvl="8" w:tplc="04260005">
      <w:start w:val="1"/>
      <w:numFmt w:val="bullet"/>
      <w:lvlText w:val=""/>
      <w:lvlJc w:val="left"/>
      <w:pPr>
        <w:ind w:left="6493" w:hanging="360"/>
      </w:pPr>
      <w:rPr>
        <w:rFonts w:ascii="Wingdings" w:hAnsi="Wingdings" w:hint="default"/>
      </w:rPr>
    </w:lvl>
  </w:abstractNum>
  <w:abstractNum w:abstractNumId="10" w15:restartNumberingAfterBreak="0">
    <w:nsid w:val="4D796315"/>
    <w:multiLevelType w:val="hybridMultilevel"/>
    <w:tmpl w:val="A9CA2ECE"/>
    <w:lvl w:ilvl="0" w:tplc="9A38D6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3EE3F35"/>
    <w:multiLevelType w:val="hybridMultilevel"/>
    <w:tmpl w:val="29F4F4B2"/>
    <w:lvl w:ilvl="0" w:tplc="F8AC7EAE">
      <w:start w:val="1"/>
      <w:numFmt w:val="decimal"/>
      <w:lvlText w:val="%1."/>
      <w:lvlJc w:val="left"/>
      <w:pPr>
        <w:ind w:left="720" w:hanging="360"/>
      </w:pPr>
      <w:rPr>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212734094">
    <w:abstractNumId w:val="5"/>
  </w:num>
  <w:num w:numId="2" w16cid:durableId="6509875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54385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63200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4955350">
    <w:abstractNumId w:val="9"/>
  </w:num>
  <w:num w:numId="6" w16cid:durableId="908999496">
    <w:abstractNumId w:val="1"/>
  </w:num>
  <w:num w:numId="7" w16cid:durableId="6479791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8901302">
    <w:abstractNumId w:val="4"/>
  </w:num>
  <w:num w:numId="9" w16cid:durableId="876504805">
    <w:abstractNumId w:val="6"/>
  </w:num>
  <w:num w:numId="10" w16cid:durableId="1005590539">
    <w:abstractNumId w:val="0"/>
  </w:num>
  <w:num w:numId="11" w16cid:durableId="1093093237">
    <w:abstractNumId w:val="3"/>
  </w:num>
  <w:num w:numId="12" w16cid:durableId="719130879">
    <w:abstractNumId w:val="10"/>
  </w:num>
  <w:num w:numId="13" w16cid:durableId="16364482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01"/>
    <w:rsid w:val="00023754"/>
    <w:rsid w:val="00030290"/>
    <w:rsid w:val="00052E61"/>
    <w:rsid w:val="00086069"/>
    <w:rsid w:val="00137F01"/>
    <w:rsid w:val="00177D5B"/>
    <w:rsid w:val="001F2133"/>
    <w:rsid w:val="001F4D0D"/>
    <w:rsid w:val="001F64AD"/>
    <w:rsid w:val="00214A28"/>
    <w:rsid w:val="002741F4"/>
    <w:rsid w:val="002C5C05"/>
    <w:rsid w:val="003F16D6"/>
    <w:rsid w:val="00485060"/>
    <w:rsid w:val="00485DDA"/>
    <w:rsid w:val="004F7CAB"/>
    <w:rsid w:val="005967D3"/>
    <w:rsid w:val="00646C42"/>
    <w:rsid w:val="006D54A0"/>
    <w:rsid w:val="00700991"/>
    <w:rsid w:val="00830030"/>
    <w:rsid w:val="00867B9E"/>
    <w:rsid w:val="00884D30"/>
    <w:rsid w:val="008D482B"/>
    <w:rsid w:val="008E25C6"/>
    <w:rsid w:val="008F7305"/>
    <w:rsid w:val="0095483D"/>
    <w:rsid w:val="00975CAB"/>
    <w:rsid w:val="00980742"/>
    <w:rsid w:val="009923EF"/>
    <w:rsid w:val="009A7191"/>
    <w:rsid w:val="009C5135"/>
    <w:rsid w:val="00A36CA0"/>
    <w:rsid w:val="00A57181"/>
    <w:rsid w:val="00B11F84"/>
    <w:rsid w:val="00B16919"/>
    <w:rsid w:val="00B22DEE"/>
    <w:rsid w:val="00B51DA5"/>
    <w:rsid w:val="00B55104"/>
    <w:rsid w:val="00BA461D"/>
    <w:rsid w:val="00BF6A89"/>
    <w:rsid w:val="00C05594"/>
    <w:rsid w:val="00C21388"/>
    <w:rsid w:val="00CB7E76"/>
    <w:rsid w:val="00CF2966"/>
    <w:rsid w:val="00D9619A"/>
    <w:rsid w:val="00EB1122"/>
    <w:rsid w:val="00F519C4"/>
    <w:rsid w:val="00FB5450"/>
    <w:rsid w:val="00FC1EA6"/>
    <w:rsid w:val="0A6FAAE9"/>
    <w:rsid w:val="22A7FAC5"/>
    <w:rsid w:val="3AC1E2D0"/>
    <w:rsid w:val="592B87A2"/>
    <w:rsid w:val="6213854D"/>
    <w:rsid w:val="7AF39EBD"/>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9704F"/>
  <w15:chartTrackingRefBased/>
  <w15:docId w15:val="{16F7FACA-B242-402C-92EF-004BF4AF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F01"/>
    <w:pPr>
      <w:widowControl w:val="0"/>
      <w:suppressAutoHyphens/>
      <w:autoSpaceDN w:val="0"/>
      <w:spacing w:after="0" w:line="240" w:lineRule="auto"/>
      <w:textAlignment w:val="baseline"/>
    </w:pPr>
    <w:rPr>
      <w:rFonts w:eastAsia="SimSun" w:cs="F"/>
      <w:kern w:val="3"/>
      <w:szCs w:val="22"/>
      <w14:ligatures w14:val="none"/>
    </w:rPr>
  </w:style>
  <w:style w:type="paragraph" w:styleId="Heading1">
    <w:name w:val="heading 1"/>
    <w:next w:val="Normal"/>
    <w:link w:val="Heading1Char"/>
    <w:qFormat/>
    <w:rsid w:val="00137F01"/>
    <w:pPr>
      <w:keepNext/>
      <w:spacing w:after="0" w:line="240" w:lineRule="auto"/>
      <w:outlineLvl w:val="0"/>
    </w:pPr>
    <w:rPr>
      <w:rFonts w:ascii="Helvetica" w:eastAsia="ヒラギノ角ゴ Pro W3" w:hAnsi="Helvetica"/>
      <w:b/>
      <w:color w:val="000000"/>
      <w:kern w:val="0"/>
      <w:sz w:val="36"/>
      <w:szCs w:val="20"/>
      <w:lang w:val="en-US"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F01"/>
    <w:rPr>
      <w:rFonts w:ascii="Helvetica" w:eastAsia="ヒラギノ角ゴ Pro W3" w:hAnsi="Helvetica"/>
      <w:b/>
      <w:color w:val="000000"/>
      <w:kern w:val="0"/>
      <w:sz w:val="36"/>
      <w:szCs w:val="20"/>
      <w:lang w:val="en-US" w:eastAsia="lv-LV"/>
      <w14:ligatures w14:val="none"/>
    </w:rPr>
  </w:style>
  <w:style w:type="paragraph" w:customStyle="1" w:styleId="Standard">
    <w:name w:val="Standard"/>
    <w:rsid w:val="00137F01"/>
    <w:pPr>
      <w:suppressAutoHyphens/>
      <w:autoSpaceDN w:val="0"/>
      <w:spacing w:after="0" w:line="240" w:lineRule="auto"/>
      <w:textAlignment w:val="baseline"/>
    </w:pPr>
    <w:rPr>
      <w:rFonts w:eastAsia="Calibri"/>
      <w:kern w:val="3"/>
      <w:szCs w:val="22"/>
      <w14:ligatures w14:val="none"/>
    </w:rPr>
  </w:style>
  <w:style w:type="paragraph" w:styleId="ListParagraph">
    <w:name w:val="List Paragraph"/>
    <w:aliases w:val="H&amp;P List Paragraph,2,Strip,Saraksta rindkopa1,Normal bullet 2,Bullet list,List Paragraph1"/>
    <w:basedOn w:val="Standard"/>
    <w:link w:val="ListParagraphChar"/>
    <w:uiPriority w:val="34"/>
    <w:qFormat/>
    <w:rsid w:val="00137F01"/>
    <w:pPr>
      <w:ind w:left="720"/>
    </w:pPr>
  </w:style>
  <w:style w:type="paragraph" w:styleId="Header">
    <w:name w:val="header"/>
    <w:basedOn w:val="Normal"/>
    <w:link w:val="HeaderChar"/>
    <w:uiPriority w:val="99"/>
    <w:unhideWhenUsed/>
    <w:rsid w:val="00137F01"/>
    <w:pPr>
      <w:tabs>
        <w:tab w:val="center" w:pos="4153"/>
        <w:tab w:val="right" w:pos="8306"/>
      </w:tabs>
    </w:pPr>
  </w:style>
  <w:style w:type="character" w:customStyle="1" w:styleId="HeaderChar">
    <w:name w:val="Header Char"/>
    <w:basedOn w:val="DefaultParagraphFont"/>
    <w:link w:val="Header"/>
    <w:uiPriority w:val="99"/>
    <w:rsid w:val="00137F01"/>
    <w:rPr>
      <w:rFonts w:eastAsia="SimSun" w:cs="F"/>
      <w:kern w:val="3"/>
      <w:szCs w:val="22"/>
      <w14:ligatures w14:val="none"/>
    </w:rPr>
  </w:style>
  <w:style w:type="paragraph" w:styleId="Footer">
    <w:name w:val="footer"/>
    <w:basedOn w:val="Normal"/>
    <w:link w:val="FooterChar"/>
    <w:uiPriority w:val="99"/>
    <w:unhideWhenUsed/>
    <w:rsid w:val="00137F01"/>
    <w:pPr>
      <w:tabs>
        <w:tab w:val="center" w:pos="4153"/>
        <w:tab w:val="right" w:pos="8306"/>
      </w:tabs>
    </w:pPr>
  </w:style>
  <w:style w:type="character" w:customStyle="1" w:styleId="FooterChar">
    <w:name w:val="Footer Char"/>
    <w:basedOn w:val="DefaultParagraphFont"/>
    <w:link w:val="Footer"/>
    <w:uiPriority w:val="99"/>
    <w:rsid w:val="00137F01"/>
    <w:rPr>
      <w:rFonts w:eastAsia="SimSun" w:cs="F"/>
      <w:kern w:val="3"/>
      <w:szCs w:val="22"/>
      <w14:ligatures w14:val="none"/>
    </w:rPr>
  </w:style>
  <w:style w:type="character" w:styleId="CommentReference">
    <w:name w:val="annotation reference"/>
    <w:basedOn w:val="DefaultParagraphFont"/>
    <w:uiPriority w:val="99"/>
    <w:semiHidden/>
    <w:unhideWhenUsed/>
    <w:rsid w:val="00137F01"/>
    <w:rPr>
      <w:sz w:val="16"/>
      <w:szCs w:val="16"/>
    </w:rPr>
  </w:style>
  <w:style w:type="paragraph" w:styleId="CommentText">
    <w:name w:val="annotation text"/>
    <w:basedOn w:val="Normal"/>
    <w:link w:val="CommentTextChar"/>
    <w:uiPriority w:val="99"/>
    <w:unhideWhenUsed/>
    <w:rsid w:val="00137F01"/>
    <w:rPr>
      <w:sz w:val="20"/>
      <w:szCs w:val="20"/>
    </w:rPr>
  </w:style>
  <w:style w:type="character" w:customStyle="1" w:styleId="CommentTextChar">
    <w:name w:val="Comment Text Char"/>
    <w:basedOn w:val="DefaultParagraphFont"/>
    <w:link w:val="CommentText"/>
    <w:uiPriority w:val="99"/>
    <w:rsid w:val="00137F01"/>
    <w:rPr>
      <w:rFonts w:eastAsia="SimSun" w:cs="F"/>
      <w:kern w:val="3"/>
      <w:sz w:val="20"/>
      <w:szCs w:val="20"/>
      <w14:ligatures w14:val="none"/>
    </w:rPr>
  </w:style>
  <w:style w:type="paragraph" w:styleId="CommentSubject">
    <w:name w:val="annotation subject"/>
    <w:basedOn w:val="CommentText"/>
    <w:next w:val="CommentText"/>
    <w:link w:val="CommentSubjectChar"/>
    <w:uiPriority w:val="99"/>
    <w:semiHidden/>
    <w:unhideWhenUsed/>
    <w:rsid w:val="00137F01"/>
    <w:rPr>
      <w:b/>
      <w:bCs/>
    </w:rPr>
  </w:style>
  <w:style w:type="character" w:customStyle="1" w:styleId="CommentSubjectChar">
    <w:name w:val="Comment Subject Char"/>
    <w:basedOn w:val="CommentTextChar"/>
    <w:link w:val="CommentSubject"/>
    <w:uiPriority w:val="99"/>
    <w:semiHidden/>
    <w:rsid w:val="00137F01"/>
    <w:rPr>
      <w:rFonts w:eastAsia="SimSun" w:cs="F"/>
      <w:b/>
      <w:bCs/>
      <w:kern w:val="3"/>
      <w:sz w:val="20"/>
      <w:szCs w:val="20"/>
      <w14:ligatures w14:val="none"/>
    </w:rPr>
  </w:style>
  <w:style w:type="paragraph" w:styleId="BalloonText">
    <w:name w:val="Balloon Text"/>
    <w:basedOn w:val="Normal"/>
    <w:link w:val="BalloonTextChar"/>
    <w:uiPriority w:val="99"/>
    <w:semiHidden/>
    <w:unhideWhenUsed/>
    <w:rsid w:val="00137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F01"/>
    <w:rPr>
      <w:rFonts w:ascii="Segoe UI" w:eastAsia="SimSun" w:hAnsi="Segoe UI" w:cs="Segoe UI"/>
      <w:kern w:val="3"/>
      <w:sz w:val="18"/>
      <w:szCs w:val="18"/>
      <w14:ligatures w14:val="none"/>
    </w:rPr>
  </w:style>
  <w:style w:type="character" w:styleId="Hyperlink">
    <w:name w:val="Hyperlink"/>
    <w:basedOn w:val="DefaultParagraphFont"/>
    <w:uiPriority w:val="99"/>
    <w:unhideWhenUsed/>
    <w:rsid w:val="00137F01"/>
    <w:rPr>
      <w:color w:val="0563C1"/>
      <w:u w:val="single"/>
    </w:rPr>
  </w:style>
  <w:style w:type="character" w:customStyle="1" w:styleId="NoteikumutekstamRakstz">
    <w:name w:val="Noteikumu tekstam Rakstz."/>
    <w:basedOn w:val="DefaultParagraphFont"/>
    <w:link w:val="Noteikumutekstam"/>
    <w:locked/>
    <w:rsid w:val="00137F01"/>
  </w:style>
  <w:style w:type="paragraph" w:customStyle="1" w:styleId="Noteikumutekstam">
    <w:name w:val="Noteikumu tekstam"/>
    <w:basedOn w:val="Normal"/>
    <w:link w:val="NoteikumutekstamRakstz"/>
    <w:rsid w:val="00137F01"/>
    <w:pPr>
      <w:widowControl/>
      <w:suppressAutoHyphens w:val="0"/>
      <w:autoSpaceDN/>
      <w:spacing w:line="276" w:lineRule="auto"/>
      <w:ind w:left="41"/>
      <w:jc w:val="both"/>
      <w:textAlignment w:val="auto"/>
    </w:pPr>
    <w:rPr>
      <w:rFonts w:eastAsiaTheme="minorHAnsi" w:cs="Times New Roman"/>
      <w:kern w:val="2"/>
      <w:szCs w:val="24"/>
      <w14:ligatures w14:val="standardContextual"/>
    </w:rPr>
  </w:style>
  <w:style w:type="paragraph" w:styleId="NoSpacing">
    <w:name w:val="No Spacing"/>
    <w:basedOn w:val="Normal"/>
    <w:uiPriority w:val="1"/>
    <w:qFormat/>
    <w:rsid w:val="00137F01"/>
    <w:pPr>
      <w:widowControl/>
      <w:suppressAutoHyphens w:val="0"/>
      <w:autoSpaceDN/>
      <w:textAlignment w:val="auto"/>
    </w:pPr>
    <w:rPr>
      <w:rFonts w:ascii="Calibri" w:eastAsiaTheme="minorHAnsi" w:hAnsi="Calibri" w:cs="Calibri"/>
      <w:color w:val="000000"/>
      <w:kern w:val="0"/>
      <w:sz w:val="22"/>
    </w:rPr>
  </w:style>
  <w:style w:type="table" w:styleId="TableGrid">
    <w:name w:val="Table Grid"/>
    <w:basedOn w:val="TableNormal"/>
    <w:uiPriority w:val="39"/>
    <w:rsid w:val="00137F01"/>
    <w:pPr>
      <w:spacing w:after="0" w:line="240" w:lineRule="auto"/>
    </w:pPr>
    <w:rPr>
      <w:rFonts w:cstheme="minorBidi"/>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List Paragraph1 Char"/>
    <w:basedOn w:val="DefaultParagraphFont"/>
    <w:link w:val="ListParagraph"/>
    <w:uiPriority w:val="34"/>
    <w:locked/>
    <w:rsid w:val="00137F01"/>
    <w:rPr>
      <w:rFonts w:eastAsia="Calibri"/>
      <w:kern w:val="3"/>
      <w:szCs w:val="22"/>
      <w14:ligatures w14:val="none"/>
    </w:rPr>
  </w:style>
  <w:style w:type="paragraph" w:customStyle="1" w:styleId="Default">
    <w:name w:val="Default"/>
    <w:basedOn w:val="Normal"/>
    <w:rsid w:val="00137F01"/>
    <w:pPr>
      <w:widowControl/>
      <w:suppressAutoHyphens w:val="0"/>
      <w:autoSpaceDE w:val="0"/>
      <w:textAlignment w:val="auto"/>
    </w:pPr>
    <w:rPr>
      <w:rFonts w:eastAsiaTheme="minorHAnsi" w:cs="Times New Roman"/>
      <w:color w:val="000000"/>
      <w:kern w:val="0"/>
      <w:szCs w:val="24"/>
      <w:lang w:eastAsia="lv-LV"/>
    </w:rPr>
  </w:style>
  <w:style w:type="character" w:styleId="PlaceholderText">
    <w:name w:val="Placeholder Text"/>
    <w:basedOn w:val="DefaultParagraphFont"/>
    <w:uiPriority w:val="99"/>
    <w:semiHidden/>
    <w:rsid w:val="00137F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A7C24F7-D642-4892-A3BC-58B100C9FEA4}"/>
      </w:docPartPr>
      <w:docPartBody>
        <w:p w:rsidR="001375A0" w:rsidRDefault="00F14914">
          <w:r w:rsidRPr="00A028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Helvetica">
    <w:panose1 w:val="020B0604020202020204"/>
    <w:charset w:val="BA"/>
    <w:family w:val="swiss"/>
    <w:pitch w:val="variable"/>
    <w:sig w:usb0="E0002EFF" w:usb1="C000785B" w:usb2="00000009" w:usb3="00000000" w:csb0="000001FF" w:csb1="00000000"/>
  </w:font>
  <w:font w:name="ヒラギノ角ゴ Pro W3">
    <w:altName w:val="MS Mincho"/>
    <w:charset w:val="00"/>
    <w:family w:val="roman"/>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14"/>
    <w:rsid w:val="001375A0"/>
    <w:rsid w:val="00263AF8"/>
    <w:rsid w:val="00443687"/>
    <w:rsid w:val="005F71FD"/>
    <w:rsid w:val="008455A2"/>
    <w:rsid w:val="00994E0D"/>
    <w:rsid w:val="00DA51A3"/>
    <w:rsid w:val="00F1491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9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1449</Words>
  <Characters>826</Characters>
  <Application>Microsoft Office Word</Application>
  <DocSecurity>0</DocSecurity>
  <Lines>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Liene Dzelzkalēja</cp:lastModifiedBy>
  <cp:revision>33</cp:revision>
  <dcterms:created xsi:type="dcterms:W3CDTF">2023-09-26T12:51:00Z</dcterms:created>
  <dcterms:modified xsi:type="dcterms:W3CDTF">2023-10-04T07:10:00Z</dcterms:modified>
</cp:coreProperties>
</file>