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E6C" w14:textId="6C8F5BCB" w:rsidR="0095483D" w:rsidRPr="00627F33" w:rsidRDefault="00BC4BCB" w:rsidP="00627F33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14:paraId="52C1763A" w14:textId="45600160" w:rsidR="00627F33" w:rsidRPr="00627F33" w:rsidRDefault="00627F33" w:rsidP="00627F33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4BCB" w:rsidRPr="00464EBC" w14:paraId="7B0A2834" w14:textId="6F0FFAD8" w:rsidTr="00880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EA7EAA" w14:textId="167CD786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00D7420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tcW w:w="5954" w:type="dxa"/>
            <w:vAlign w:val="center"/>
          </w:tcPr>
          <w:p w14:paraId="119AB7A8" w14:textId="36342DA9" w:rsidR="00D3795A" w:rsidRPr="00D7420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D7420E">
              <w:rPr>
                <w:rFonts w:eastAsia="Calibri"/>
                <w:lang w:eastAsia="en-US"/>
              </w:rPr>
              <w:t>Specifisk</w:t>
            </w:r>
            <w:r w:rsidR="007719EE" w:rsidRPr="00D7420E">
              <w:rPr>
                <w:rFonts w:eastAsia="Calibri"/>
                <w:lang w:eastAsia="en-US"/>
              </w:rPr>
              <w:t>ā</w:t>
            </w:r>
            <w:r w:rsidRPr="00D7420E">
              <w:rPr>
                <w:rFonts w:eastAsia="Calibri"/>
                <w:lang w:eastAsia="en-US"/>
              </w:rPr>
              <w:t xml:space="preserve"> atbalsta mērķis:</w:t>
            </w:r>
          </w:p>
          <w:p w14:paraId="21B713A9" w14:textId="6D40C672" w:rsidR="00BC4BCB" w:rsidRPr="00D7420E" w:rsidRDefault="00213494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0D7420E">
              <w:rPr>
                <w:rFonts w:eastAsia="Calibri"/>
                <w:b w:val="0"/>
                <w:bCs w:val="0"/>
                <w:lang w:eastAsia="en-US"/>
              </w:rPr>
              <w:t>2.</w:t>
            </w:r>
            <w:r w:rsidR="0033372C" w:rsidRPr="00D7420E">
              <w:rPr>
                <w:rFonts w:eastAsia="Calibri"/>
                <w:b w:val="0"/>
                <w:bCs w:val="0"/>
                <w:lang w:eastAsia="en-US"/>
              </w:rPr>
              <w:t>1</w:t>
            </w:r>
            <w:r w:rsidRPr="00D7420E">
              <w:rPr>
                <w:rFonts w:eastAsia="Calibri"/>
                <w:b w:val="0"/>
                <w:bCs w:val="0"/>
                <w:lang w:eastAsia="en-US"/>
              </w:rPr>
              <w:t xml:space="preserve">.3. </w:t>
            </w:r>
            <w:r w:rsidR="0033372C" w:rsidRPr="00D7420E">
              <w:rPr>
                <w:b w:val="0"/>
                <w:bCs w:val="0"/>
                <w:color w:val="000000" w:themeColor="text1"/>
              </w:rPr>
              <w:t xml:space="preserve">“Veicināt pielāgošanos klimata pārmaiņām, risku novēršanu un noturību pret katastrofām” </w:t>
            </w:r>
          </w:p>
          <w:p w14:paraId="2A9AC8B4" w14:textId="77777777" w:rsidR="00D3795A" w:rsidRPr="00D7420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  <w:p w14:paraId="50E670EF" w14:textId="1E2DD272" w:rsidR="00D3795A" w:rsidRPr="00D7420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D7420E">
              <w:rPr>
                <w:rFonts w:eastAsia="Calibri"/>
                <w:lang w:eastAsia="en-US"/>
              </w:rPr>
              <w:t>Specifiskā atbalsta mērķa pasākums:</w:t>
            </w:r>
          </w:p>
          <w:p w14:paraId="4FAC8074" w14:textId="1EBB7E81" w:rsidR="0033372C" w:rsidRPr="00D7420E" w:rsidRDefault="0033372C" w:rsidP="0033372C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0D7420E">
              <w:rPr>
                <w:b w:val="0"/>
                <w:bCs w:val="0"/>
                <w:color w:val="000000" w:themeColor="text1"/>
              </w:rPr>
              <w:t>2.1.3.</w:t>
            </w:r>
            <w:r w:rsidR="00464EBC" w:rsidRPr="00D7420E">
              <w:rPr>
                <w:b w:val="0"/>
                <w:bCs w:val="0"/>
                <w:color w:val="000000" w:themeColor="text1"/>
              </w:rPr>
              <w:t>1</w:t>
            </w:r>
            <w:r w:rsidRPr="00D7420E">
              <w:rPr>
                <w:b w:val="0"/>
                <w:bCs w:val="0"/>
                <w:color w:val="000000" w:themeColor="text1"/>
              </w:rPr>
              <w:t>. pasākum</w:t>
            </w:r>
            <w:r w:rsidR="0044587B" w:rsidRPr="00D7420E">
              <w:rPr>
                <w:b w:val="0"/>
                <w:bCs w:val="0"/>
                <w:color w:val="000000" w:themeColor="text1"/>
              </w:rPr>
              <w:t>s</w:t>
            </w:r>
            <w:r w:rsidRPr="00D7420E">
              <w:rPr>
                <w:b w:val="0"/>
                <w:bCs w:val="0"/>
                <w:color w:val="000000" w:themeColor="text1"/>
              </w:rPr>
              <w:t xml:space="preserve"> </w:t>
            </w:r>
            <w:r w:rsidR="0044587B" w:rsidRPr="00D7420E">
              <w:rPr>
                <w:b w:val="0"/>
                <w:bCs w:val="0"/>
                <w:color w:val="000000" w:themeColor="text1"/>
              </w:rPr>
              <w:t>“</w:t>
            </w:r>
            <w:r w:rsidR="00464EBC" w:rsidRPr="00D7420E">
              <w:rPr>
                <w:b w:val="0"/>
                <w:bCs w:val="0"/>
                <w:color w:val="000000" w:themeColor="text1"/>
              </w:rPr>
              <w:t>Pašvaldību pielāgošanās klimata pārmaiņām</w:t>
            </w:r>
            <w:r w:rsidR="0044587B" w:rsidRPr="00D7420E">
              <w:rPr>
                <w:b w:val="0"/>
                <w:bCs w:val="0"/>
                <w:color w:val="000000" w:themeColor="text1"/>
              </w:rPr>
              <w:t>”</w:t>
            </w:r>
          </w:p>
          <w:p w14:paraId="1937E512" w14:textId="77777777" w:rsidR="007719EE" w:rsidRPr="00D7420E" w:rsidRDefault="007719EE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3171579" w14:textId="38393B4B" w:rsidR="00213494" w:rsidRPr="00D7420E" w:rsidRDefault="00944F37" w:rsidP="00D3795A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rPr>
                <w:b w:val="0"/>
                <w:bCs w:val="0"/>
              </w:rPr>
              <w:t>Pirmā</w:t>
            </w:r>
            <w:r w:rsidRPr="00D7420E">
              <w:t xml:space="preserve"> projektu iesniegumu atlases kārta</w:t>
            </w:r>
          </w:p>
        </w:tc>
      </w:tr>
      <w:tr w:rsidR="00BC4BCB" w:rsidRPr="00464EBC" w14:paraId="7B78037F" w14:textId="379F971A" w:rsidTr="620F7197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B55B2F" w14:textId="73A1851E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tcW w:w="5954" w:type="dxa"/>
            <w:vAlign w:val="center"/>
          </w:tcPr>
          <w:p w14:paraId="0074999D" w14:textId="5239C40A" w:rsidR="00BC4BCB" w:rsidRPr="00D7420E" w:rsidRDefault="00464EBC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Atklāta</w:t>
            </w:r>
            <w:r w:rsidR="00D3795A" w:rsidRPr="00D7420E">
              <w:t xml:space="preserve"> projektu iesniegumu atlase</w:t>
            </w:r>
          </w:p>
        </w:tc>
      </w:tr>
      <w:tr w:rsidR="00BC4BCB" w:rsidRPr="00464EBC" w14:paraId="7CE2DB01" w14:textId="1435D55C" w:rsidTr="620F7197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2B0EC8" w14:textId="1280D614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tcW w:w="5954" w:type="dxa"/>
            <w:vAlign w:val="center"/>
          </w:tcPr>
          <w:p w14:paraId="7046DC2C" w14:textId="2CB811D8" w:rsidR="00B866E3" w:rsidRPr="00D7420E" w:rsidRDefault="00B866E3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Finansējuma saņēmēj</w:t>
            </w:r>
            <w:r w:rsidR="00464EBC" w:rsidRPr="00D7420E">
              <w:t>i</w:t>
            </w:r>
            <w:r w:rsidRPr="00D7420E">
              <w:t xml:space="preserve">: </w:t>
            </w:r>
            <w:r w:rsidR="00464EBC" w:rsidRPr="00D7420E">
              <w:t xml:space="preserve">pašvaldība, tās izveidota iestāde vai pašvaldības kapitālsabiedrība, kas veic pašvaldības deleģēto pārvaldes uzdevumu izpildi. Sadarbības partneri var būt ūdenssaimniecības </w:t>
            </w:r>
            <w:r w:rsidR="000C218E" w:rsidRPr="00D7420E">
              <w:t>sabiedriedrisko pakalpojumu sniedzēji.</w:t>
            </w:r>
          </w:p>
        </w:tc>
      </w:tr>
      <w:tr w:rsidR="00BC4BCB" w:rsidRPr="00464EBC" w14:paraId="51E1676B" w14:textId="697980B3" w:rsidTr="620F7197">
        <w:trPr>
          <w:trHeight w:val="1451"/>
        </w:trPr>
        <w:tc>
          <w:tcPr>
            <w:tcW w:w="4536" w:type="dxa"/>
            <w:vAlign w:val="center"/>
          </w:tcPr>
          <w:p w14:paraId="25F8B917" w14:textId="4E64DA77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tcW w:w="5954" w:type="dxa"/>
            <w:vAlign w:val="center"/>
          </w:tcPr>
          <w:p w14:paraId="754B4D3C" w14:textId="4622B4A8" w:rsidR="00CF576F" w:rsidRPr="00D7420E" w:rsidRDefault="00CF2F07" w:rsidP="00BC4BCB">
            <w:pPr>
              <w:pStyle w:val="Default"/>
              <w:adjustRightInd/>
              <w:jc w:val="both"/>
            </w:pPr>
            <w:r w:rsidRPr="00D7420E">
              <w:t xml:space="preserve">Otrā projektu iesniegumu atlases kārta </w:t>
            </w:r>
            <w:r w:rsidR="00A6285D" w:rsidRPr="00D7420E">
              <w:t>tiek plānota</w:t>
            </w:r>
            <w:r w:rsidR="00776623" w:rsidRPr="00D7420E">
              <w:t xml:space="preserve"> </w:t>
            </w:r>
            <w:r w:rsidR="00545D49" w:rsidRPr="00D7420E">
              <w:t>atbilstoši laika grafikam</w:t>
            </w:r>
            <w:r w:rsidR="006F1E3F" w:rsidRPr="00D7420E">
              <w:rPr>
                <w:rStyle w:val="FootnoteReference"/>
              </w:rPr>
              <w:footnoteReference w:id="3"/>
            </w:r>
            <w:r w:rsidR="00682D5A" w:rsidRPr="00D7420E">
              <w:t>, balstoties uz uzsaukumu par elastības finansējuma apjomu 2026. gadā.</w:t>
            </w:r>
          </w:p>
        </w:tc>
      </w:tr>
      <w:tr w:rsidR="00BC4BCB" w:rsidRPr="001D3B5E" w14:paraId="4BF49CBE" w14:textId="64DEDA73" w:rsidTr="620F7197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495953" w14:textId="0E1DD635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tcW w:w="5954" w:type="dxa"/>
            <w:vAlign w:val="center"/>
          </w:tcPr>
          <w:p w14:paraId="546F5E18" w14:textId="4965B372" w:rsidR="006A5DAB" w:rsidRPr="00D7420E" w:rsidRDefault="001D3B5E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 xml:space="preserve">Pasākuma </w:t>
            </w:r>
            <w:r w:rsidRPr="00D7420E">
              <w:rPr>
                <w:b/>
                <w:bCs/>
              </w:rPr>
              <w:t>pirmās kārtas</w:t>
            </w:r>
            <w:r w:rsidRPr="00D7420E">
              <w:t xml:space="preserve"> ietvaros plānotais un pieejamais kopējais finansējums ir ne mazāks kā 34 762 296 </w:t>
            </w:r>
            <w:r w:rsidRPr="00D7420E">
              <w:rPr>
                <w:i/>
                <w:iCs/>
              </w:rPr>
              <w:t>euro</w:t>
            </w:r>
            <w:r w:rsidRPr="00D7420E">
              <w:t>, tai skaitā ERAF finansējums – 29 547 951 </w:t>
            </w:r>
            <w:r w:rsidRPr="00D7420E">
              <w:rPr>
                <w:i/>
                <w:iCs/>
              </w:rPr>
              <w:t>euro</w:t>
            </w:r>
            <w:r w:rsidRPr="00D7420E">
              <w:t xml:space="preserve"> un nacionālais finansējums – ne mazāks kā 5 214 345 </w:t>
            </w:r>
            <w:r w:rsidRPr="00D7420E">
              <w:rPr>
                <w:i/>
                <w:iCs/>
              </w:rPr>
              <w:t>euro</w:t>
            </w:r>
            <w:r w:rsidRPr="00D7420E">
              <w:t>.</w:t>
            </w:r>
          </w:p>
        </w:tc>
      </w:tr>
      <w:tr w:rsidR="00BC4BCB" w:rsidRPr="001D3B5E" w14:paraId="3B887F96" w14:textId="4F79A346" w:rsidTr="620F7197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2E0BD4" w14:textId="29AF73F7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tcW w:w="5954" w:type="dxa"/>
            <w:vAlign w:val="center"/>
          </w:tcPr>
          <w:p w14:paraId="754D7E52" w14:textId="77777777" w:rsidR="00BC4BCB" w:rsidRPr="00D7420E" w:rsidRDefault="00DE02EF" w:rsidP="004E2FB8">
            <w:pPr>
              <w:pStyle w:val="Default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Atlases kārtas ietvaros netiek atbalstītas projekta iesniedzēja aktivitātes, kurām atbalsts ir kvalificējams kā komercdarbības atbalsts</w:t>
            </w:r>
            <w:r w:rsidR="00DC307D" w:rsidRPr="00D7420E">
              <w:t xml:space="preserve">. </w:t>
            </w:r>
            <w:r w:rsidR="00CB37FA" w:rsidRPr="00D7420E">
              <w:t>P</w:t>
            </w:r>
            <w:r w:rsidR="004E2FB8" w:rsidRPr="00D7420E">
              <w:t>asākuma ietvaros netiek paredzēts atbalsts ar saimniecisko darbību saistītām aktivitātēm.</w:t>
            </w:r>
          </w:p>
          <w:p w14:paraId="08798522" w14:textId="383B354F" w:rsidR="00682D5A" w:rsidRPr="00D7420E" w:rsidRDefault="00682D5A" w:rsidP="004E2FB8">
            <w:pPr>
              <w:pStyle w:val="Default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Izņēmums ir sabiedrisko pakalpojumu sniedzēji (sadarbības partneri), kuriem atbalsts sniedzams saskaņā ar Eiropas Komisijas 2011. gada 20. decembra lēmumu Nr. 2012/21/ES  par Līguma par Eiropas Savienības darbību 106. panta 2. punkta piemērošanu komercdarbības atbalstam attiecībā uz kompensāciju par sabiedriskajiem pakalpojumiem dažiem uzņēmumiem, kuriem uzticēts sniegt pakalpojumus ar vispārēju tautsaimniecisku nozīmi.</w:t>
            </w:r>
          </w:p>
        </w:tc>
      </w:tr>
      <w:tr w:rsidR="00BC4BCB" w:rsidRPr="001D3B5E" w14:paraId="76E927FF" w14:textId="38F50E84" w:rsidTr="0018454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E93607A" w14:textId="2F635919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lastRenderedPageBreak/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tcW w:w="5954" w:type="dxa"/>
            <w:vAlign w:val="center"/>
          </w:tcPr>
          <w:p w14:paraId="3F2A8D29" w14:textId="1C00EDF8" w:rsidR="00CB5DDB" w:rsidRPr="00D7420E" w:rsidRDefault="001938A6" w:rsidP="00D90A7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 xml:space="preserve">Atlases kārtas ietvaros </w:t>
            </w:r>
            <w:r w:rsidR="0018454A" w:rsidRPr="00D7420E">
              <w:t xml:space="preserve">pieejamā finansējuma apjomā </w:t>
            </w:r>
            <w:r w:rsidRPr="00D7420E">
              <w:t xml:space="preserve">ir atbalstāma </w:t>
            </w:r>
            <w:r w:rsidR="00CB5DDB" w:rsidRPr="00D7420E">
              <w:t>“zaļās” un “zilās” infrastruktūras risinājumu (piemēram, “zaļās” sienas, jumtu dārzi, “zaļās” barjeras, caurlaidīgi segumi, ēnu sniedzoši koki u.c.) un citu pielāgošanās klimata pārmaiņām pasākumu (piemēram, dzeramā ūdens piekļuves viet</w:t>
            </w:r>
            <w:r w:rsidR="00355E98" w:rsidRPr="00D7420E">
              <w:t>u izveide</w:t>
            </w:r>
            <w:r w:rsidR="00CB5DDB" w:rsidRPr="00D7420E">
              <w:t>, pilsētu lietus ūdens noteces sistēm</w:t>
            </w:r>
            <w:r w:rsidR="00355E98" w:rsidRPr="00D7420E">
              <w:t>u atjaunošana, ar pielāgošanos klimata pārmaiņām saistīta civilās aizsardzības nodrošinājuma iegāde</w:t>
            </w:r>
            <w:r w:rsidR="00CB5DDB" w:rsidRPr="00D7420E">
              <w:t xml:space="preserve"> u.c.) īstenošana atbilstoši pašvaldību klimata pielāgošanās stratēģijām (pašvaldības attīstības programmas sastāvdaļa). </w:t>
            </w:r>
          </w:p>
          <w:p w14:paraId="2C3ABB64" w14:textId="7D40EF55" w:rsidR="00D90A7F" w:rsidRPr="00D7420E" w:rsidRDefault="004C4C57" w:rsidP="00D90A7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2026. g. tiek plānots e</w:t>
            </w:r>
            <w:r w:rsidR="00920747" w:rsidRPr="00D7420E">
              <w:t>lastības finansējums</w:t>
            </w:r>
            <w:r w:rsidRPr="00D7420E">
              <w:t xml:space="preserve"> (orientējoši 14 752 049 EUR</w:t>
            </w:r>
            <w:r w:rsidR="00CB5DDB" w:rsidRPr="00D7420E">
              <w:t xml:space="preserve"> ERAF finansējuma</w:t>
            </w:r>
            <w:r w:rsidRPr="00D7420E">
              <w:t>), par kura piešķiršanu vēl lems Eiropas Komisija.</w:t>
            </w:r>
            <w:r w:rsidR="008B7037" w:rsidRPr="00D7420E">
              <w:t xml:space="preserve"> </w:t>
            </w:r>
          </w:p>
        </w:tc>
      </w:tr>
      <w:tr w:rsidR="00BC4BCB" w:rsidRPr="001D3B5E" w14:paraId="2BDD66ED" w14:textId="6433B235" w:rsidTr="00A85F5D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9B04F41" w14:textId="7035438C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atlases ietvaros sasniedzamais mērķis/i</w:t>
            </w:r>
          </w:p>
        </w:tc>
        <w:tc>
          <w:tcPr>
            <w:tcW w:w="5954" w:type="dxa"/>
            <w:vAlign w:val="center"/>
          </w:tcPr>
          <w:p w14:paraId="2E489504" w14:textId="7B926D2C" w:rsidR="00BC4BCB" w:rsidRPr="00D7420E" w:rsidRDefault="001D3B5E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Pasākuma</w:t>
            </w:r>
            <w:r w:rsidR="00A85F5D" w:rsidRPr="00D7420E">
              <w:t xml:space="preserve"> mērķis </w:t>
            </w:r>
            <w:r w:rsidRPr="00D7420E">
              <w:t>ir atbalstīt infrastruktūras izveides un atjaunošanas darbības, kas vērstas uz pašvaldību pielāgošanos klimata pārmaiņām un to izraisītu katastrofu risku mazināšanu.</w:t>
            </w:r>
          </w:p>
        </w:tc>
      </w:tr>
      <w:tr w:rsidR="00BC4BCB" w:rsidRPr="001D3B5E" w14:paraId="279CD468" w14:textId="3189744D" w:rsidTr="620F7197">
        <w:trPr>
          <w:trHeight w:val="3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C264AB" w14:textId="466D4FE4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tcW w:w="5954" w:type="dxa"/>
            <w:vAlign w:val="center"/>
          </w:tcPr>
          <w:p w14:paraId="4E6153D6" w14:textId="67D43B17" w:rsidR="005251E1" w:rsidRPr="00D7420E" w:rsidRDefault="00AF18EB" w:rsidP="009A6556">
            <w:pPr>
              <w:pStyle w:val="Default"/>
              <w:numPr>
                <w:ilvl w:val="0"/>
                <w:numId w:val="4"/>
              </w:numPr>
              <w:adjustRightInd/>
              <w:ind w:left="2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420E">
              <w:rPr>
                <w:b/>
                <w:bCs/>
              </w:rPr>
              <w:t>iznākuma</w:t>
            </w:r>
            <w:r w:rsidRPr="00D7420E">
              <w:t xml:space="preserve"> rādītājs – </w:t>
            </w:r>
            <w:r w:rsidR="00B31A72" w:rsidRPr="00D7420E">
              <w:t>nacionālās un vietējās stratēģijas, kas vērstas uz pielāgošanos klimata pārmaiņām. Pasākuma pirmās atlases kārtas ietvaros ieguldījumi veicami vismaz 10 pašvaldību stratēģijās;</w:t>
            </w:r>
          </w:p>
          <w:p w14:paraId="4551A851" w14:textId="6B40DA84" w:rsidR="005251E1" w:rsidRPr="00D7420E" w:rsidRDefault="005251E1" w:rsidP="009A6556">
            <w:pPr>
              <w:pStyle w:val="Default"/>
              <w:numPr>
                <w:ilvl w:val="0"/>
                <w:numId w:val="4"/>
              </w:numPr>
              <w:adjustRightInd/>
              <w:ind w:left="2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rPr>
                <w:b/>
                <w:bCs/>
              </w:rPr>
              <w:t>iznākuma</w:t>
            </w:r>
            <w:r w:rsidRPr="00D7420E">
              <w:t xml:space="preserve"> rādītājs – </w:t>
            </w:r>
            <w:r w:rsidR="004C4C57" w:rsidRPr="00D7420E">
              <w:t>“</w:t>
            </w:r>
            <w:r w:rsidRPr="00D7420E">
              <w:t>zaļā</w:t>
            </w:r>
            <w:r w:rsidR="004C4C57" w:rsidRPr="00D7420E">
              <w:t>”</w:t>
            </w:r>
            <w:r w:rsidRPr="00D7420E">
              <w:t xml:space="preserve"> infrastruktūra, kas izveidota vai </w:t>
            </w:r>
            <w:r w:rsidRPr="00D7420E">
              <w:rPr>
                <w:rStyle w:val="scayt-misspell-word"/>
              </w:rPr>
              <w:t>jaunināta</w:t>
            </w:r>
            <w:r w:rsidRPr="00D7420E">
              <w:t xml:space="preserve"> nolūkā pielāgoties klimata pārmaiņām. </w:t>
            </w:r>
            <w:r w:rsidR="004C4C57" w:rsidRPr="00D7420E">
              <w:t>Iznākuma rādītāja vērtība tiek sasniegta, ja projektu ietvaros veikti ieguldījumi “zaļajā” infrastruktūrā 31 ha platībā</w:t>
            </w:r>
            <w:r w:rsidRPr="00D7420E">
              <w:t>;</w:t>
            </w:r>
          </w:p>
          <w:p w14:paraId="013F6A25" w14:textId="371EC1B2" w:rsidR="001F6125" w:rsidRPr="00D7420E" w:rsidRDefault="004C4C57" w:rsidP="004C4C57">
            <w:pPr>
              <w:pStyle w:val="Default"/>
              <w:numPr>
                <w:ilvl w:val="0"/>
                <w:numId w:val="4"/>
              </w:numPr>
              <w:adjustRightInd/>
              <w:ind w:left="2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rPr>
                <w:b/>
                <w:bCs/>
              </w:rPr>
              <w:t>nacionālais</w:t>
            </w:r>
            <w:r w:rsidRPr="00D7420E">
              <w:t xml:space="preserve"> rādītājs – jaunizveidota vai nostiprināta piekrastes joslas un upju un ezeru krastu aizsardzība pret plūdiem. Pasākuma ietvaros sasniedzamā rādītāja vērtība – tiek veikti ieguldījumi, kas no plūdiem aizsargā krasta joslu (km) atbilstoši īstenojamo projektu iesniegumos norādītajiem sasniedzamajiem rezultātiem.</w:t>
            </w:r>
          </w:p>
        </w:tc>
      </w:tr>
      <w:tr w:rsidR="00BC4BCB" w:rsidRPr="001D3B5E" w14:paraId="3832739F" w14:textId="78D7BB72" w:rsidTr="620F719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8D5CEB" w14:textId="6A9EA562" w:rsidR="00BC4BCB" w:rsidRPr="00D7420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D7420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tcW w:w="5954" w:type="dxa"/>
            <w:vAlign w:val="center"/>
          </w:tcPr>
          <w:p w14:paraId="073EF27D" w14:textId="4E2D5B85" w:rsidR="00BC4BCB" w:rsidRPr="00D7420E" w:rsidRDefault="001D3B5E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20E">
              <w:t>Latvijas Republikas pašvaldības un iedzīvotāji, kuri izmantos jaunizveidoto vai atjaunoto infrastruktūru</w:t>
            </w:r>
          </w:p>
        </w:tc>
      </w:tr>
    </w:tbl>
    <w:p w14:paraId="47288BE1" w14:textId="77777777" w:rsidR="00BC4BCB" w:rsidRPr="001D3B5E" w:rsidRDefault="00BC4BCB" w:rsidP="00156518">
      <w:pPr>
        <w:pStyle w:val="Default"/>
        <w:ind w:left="-1134"/>
        <w:jc w:val="both"/>
        <w:rPr>
          <w:highlight w:val="yellow"/>
        </w:rPr>
      </w:pPr>
    </w:p>
    <w:p w14:paraId="686DBD2D" w14:textId="1401D461" w:rsidR="00DC307D" w:rsidRDefault="00DC307D" w:rsidP="00156518">
      <w:pPr>
        <w:pStyle w:val="Default"/>
        <w:ind w:left="-1134"/>
        <w:jc w:val="both"/>
      </w:pPr>
    </w:p>
    <w:p w14:paraId="362E8CC0" w14:textId="47682A00" w:rsidR="005507F3" w:rsidRDefault="005507F3" w:rsidP="00CA556A">
      <w:pPr>
        <w:pStyle w:val="Default"/>
        <w:jc w:val="both"/>
      </w:pPr>
    </w:p>
    <w:sectPr w:rsidR="005507F3" w:rsidSect="007B4CB9">
      <w:footerReference w:type="default" r:id="rId8"/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33C0" w14:textId="77777777" w:rsidR="005A06C8" w:rsidRDefault="005A06C8" w:rsidP="00BC4BCB">
      <w:pPr>
        <w:spacing w:after="0" w:line="240" w:lineRule="auto"/>
      </w:pPr>
      <w:r>
        <w:separator/>
      </w:r>
    </w:p>
  </w:endnote>
  <w:endnote w:type="continuationSeparator" w:id="0">
    <w:p w14:paraId="05FCD286" w14:textId="77777777" w:rsidR="005A06C8" w:rsidRDefault="005A06C8" w:rsidP="00BC4BCB">
      <w:pPr>
        <w:spacing w:after="0" w:line="240" w:lineRule="auto"/>
      </w:pPr>
      <w:r>
        <w:continuationSeparator/>
      </w:r>
    </w:p>
  </w:endnote>
  <w:endnote w:type="continuationNotice" w:id="1">
    <w:p w14:paraId="5CC053FE" w14:textId="77777777" w:rsidR="005A06C8" w:rsidRDefault="005A0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E251" w14:textId="62EEB3B9" w:rsidR="00114596" w:rsidRPr="00114596" w:rsidRDefault="00114596" w:rsidP="00114596">
    <w:pPr>
      <w:pStyle w:val="Footer"/>
      <w:ind w:left="-1134"/>
      <w:rPr>
        <w:sz w:val="20"/>
        <w:szCs w:val="20"/>
      </w:rPr>
    </w:pPr>
    <w:r>
      <w:rPr>
        <w:sz w:val="20"/>
        <w:szCs w:val="20"/>
      </w:rPr>
      <w:t>VARAM_2.1.3.</w:t>
    </w:r>
    <w:r w:rsidR="00355E98">
      <w:rPr>
        <w:sz w:val="20"/>
        <w:szCs w:val="20"/>
      </w:rPr>
      <w:t>1</w:t>
    </w:r>
    <w:r>
      <w:rPr>
        <w:sz w:val="20"/>
        <w:szCs w:val="20"/>
      </w:rPr>
      <w:t>.SAMP_1.karta_</w:t>
    </w:r>
    <w:r w:rsidR="00355E98">
      <w:rPr>
        <w:sz w:val="20"/>
        <w:szCs w:val="20"/>
      </w:rPr>
      <w:t>2308</w:t>
    </w:r>
    <w:r w:rsidR="004E2FB8">
      <w:rPr>
        <w:sz w:val="20"/>
        <w:szCs w:val="20"/>
      </w:rPr>
      <w:t>2023</w:t>
    </w:r>
  </w:p>
  <w:p w14:paraId="1244E907" w14:textId="77777777" w:rsidR="00114596" w:rsidRDefault="0011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43" w14:textId="77777777" w:rsidR="005A06C8" w:rsidRDefault="005A06C8" w:rsidP="00BC4BCB">
      <w:pPr>
        <w:spacing w:after="0" w:line="240" w:lineRule="auto"/>
      </w:pPr>
      <w:r>
        <w:separator/>
      </w:r>
    </w:p>
  </w:footnote>
  <w:footnote w:type="continuationSeparator" w:id="0">
    <w:p w14:paraId="32930A21" w14:textId="77777777" w:rsidR="005A06C8" w:rsidRDefault="005A06C8" w:rsidP="00BC4BCB">
      <w:pPr>
        <w:spacing w:after="0" w:line="240" w:lineRule="auto"/>
      </w:pPr>
      <w:r>
        <w:continuationSeparator/>
      </w:r>
    </w:p>
  </w:footnote>
  <w:footnote w:type="continuationNotice" w:id="1">
    <w:p w14:paraId="4CFF222E" w14:textId="77777777" w:rsidR="005A06C8" w:rsidRDefault="005A06C8">
      <w:pPr>
        <w:spacing w:after="0" w:line="240" w:lineRule="auto"/>
      </w:pPr>
    </w:p>
  </w:footnote>
  <w:footnote w:id="2">
    <w:p w14:paraId="6B0E039E" w14:textId="5FFC2F81" w:rsidR="00BC4BCB" w:rsidRDefault="00BC4BCB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="00D61C1A" w:rsidRP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  <w:footnote w:id="3">
    <w:p w14:paraId="60930FB9" w14:textId="188D9AB6" w:rsidR="006F1E3F" w:rsidRDefault="006F1E3F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Infor</w:t>
      </w:r>
      <w:r w:rsidRPr="006F1E3F">
        <w:t xml:space="preserve">matīvā ziņojuma </w:t>
      </w:r>
      <w:r w:rsidRPr="006F1E3F">
        <w:rPr>
          <w:color w:val="000000" w:themeColor="text1"/>
        </w:rPr>
        <w:t>“Par Finanšu ministrijas pārziņā esošo Eiropas Savienības fondu un ārvalstu finanšu palīdzības aktualitātēm līdz 2023. gada 1. martam (pusgada ziņojums)” 3.pielikums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7230">
    <w:abstractNumId w:val="1"/>
  </w:num>
  <w:num w:numId="2" w16cid:durableId="998997738">
    <w:abstractNumId w:val="0"/>
  </w:num>
  <w:num w:numId="3" w16cid:durableId="2058355733">
    <w:abstractNumId w:val="2"/>
  </w:num>
  <w:num w:numId="4" w16cid:durableId="101651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62DBB"/>
    <w:rsid w:val="00063C12"/>
    <w:rsid w:val="000721A4"/>
    <w:rsid w:val="00082418"/>
    <w:rsid w:val="000832B3"/>
    <w:rsid w:val="000C218E"/>
    <w:rsid w:val="000D0471"/>
    <w:rsid w:val="000F05EB"/>
    <w:rsid w:val="00114596"/>
    <w:rsid w:val="00136121"/>
    <w:rsid w:val="001376F6"/>
    <w:rsid w:val="00144FCC"/>
    <w:rsid w:val="00156518"/>
    <w:rsid w:val="001609C1"/>
    <w:rsid w:val="0018454A"/>
    <w:rsid w:val="00190476"/>
    <w:rsid w:val="00191619"/>
    <w:rsid w:val="0019305B"/>
    <w:rsid w:val="001935AB"/>
    <w:rsid w:val="001938A6"/>
    <w:rsid w:val="001D1673"/>
    <w:rsid w:val="001D23F0"/>
    <w:rsid w:val="001D3B5E"/>
    <w:rsid w:val="001E1E52"/>
    <w:rsid w:val="001F6125"/>
    <w:rsid w:val="00201540"/>
    <w:rsid w:val="00213494"/>
    <w:rsid w:val="00223184"/>
    <w:rsid w:val="002412A8"/>
    <w:rsid w:val="00243740"/>
    <w:rsid w:val="002A6FE0"/>
    <w:rsid w:val="002C4868"/>
    <w:rsid w:val="0033372C"/>
    <w:rsid w:val="0033703F"/>
    <w:rsid w:val="003432DD"/>
    <w:rsid w:val="00355E98"/>
    <w:rsid w:val="003630E5"/>
    <w:rsid w:val="00370969"/>
    <w:rsid w:val="00396ADB"/>
    <w:rsid w:val="003A2EA0"/>
    <w:rsid w:val="003A7ED4"/>
    <w:rsid w:val="003C5758"/>
    <w:rsid w:val="003E3FE7"/>
    <w:rsid w:val="003F6C52"/>
    <w:rsid w:val="00431DB4"/>
    <w:rsid w:val="0044587B"/>
    <w:rsid w:val="00453602"/>
    <w:rsid w:val="004602E4"/>
    <w:rsid w:val="00464EBC"/>
    <w:rsid w:val="00476C29"/>
    <w:rsid w:val="004B7119"/>
    <w:rsid w:val="004C4C57"/>
    <w:rsid w:val="004C6DFD"/>
    <w:rsid w:val="004D681E"/>
    <w:rsid w:val="004E2FB8"/>
    <w:rsid w:val="004F6486"/>
    <w:rsid w:val="0051117F"/>
    <w:rsid w:val="005251E1"/>
    <w:rsid w:val="00531DCA"/>
    <w:rsid w:val="00545D49"/>
    <w:rsid w:val="005507F3"/>
    <w:rsid w:val="00583BDF"/>
    <w:rsid w:val="005A06C8"/>
    <w:rsid w:val="005A423C"/>
    <w:rsid w:val="005B42A9"/>
    <w:rsid w:val="005B62B8"/>
    <w:rsid w:val="005E0F13"/>
    <w:rsid w:val="005E6578"/>
    <w:rsid w:val="005F2D71"/>
    <w:rsid w:val="005F535B"/>
    <w:rsid w:val="00615BDC"/>
    <w:rsid w:val="00615CF6"/>
    <w:rsid w:val="00621B6A"/>
    <w:rsid w:val="00627F33"/>
    <w:rsid w:val="00631A3E"/>
    <w:rsid w:val="00636674"/>
    <w:rsid w:val="006454B3"/>
    <w:rsid w:val="0067498E"/>
    <w:rsid w:val="00682D5A"/>
    <w:rsid w:val="00684E04"/>
    <w:rsid w:val="006A5DAB"/>
    <w:rsid w:val="006B2C79"/>
    <w:rsid w:val="006F1E3F"/>
    <w:rsid w:val="00707386"/>
    <w:rsid w:val="007454B2"/>
    <w:rsid w:val="00763F62"/>
    <w:rsid w:val="007719EE"/>
    <w:rsid w:val="00776623"/>
    <w:rsid w:val="00783F08"/>
    <w:rsid w:val="007864ED"/>
    <w:rsid w:val="00797E70"/>
    <w:rsid w:val="007A59F7"/>
    <w:rsid w:val="007B4CB9"/>
    <w:rsid w:val="007C30DA"/>
    <w:rsid w:val="007F7A29"/>
    <w:rsid w:val="00821CBD"/>
    <w:rsid w:val="0082228F"/>
    <w:rsid w:val="00875BA1"/>
    <w:rsid w:val="00880C6E"/>
    <w:rsid w:val="00884DB0"/>
    <w:rsid w:val="008A40AC"/>
    <w:rsid w:val="008B661B"/>
    <w:rsid w:val="008B6E5F"/>
    <w:rsid w:val="008B7037"/>
    <w:rsid w:val="008C5C3A"/>
    <w:rsid w:val="008D13D5"/>
    <w:rsid w:val="008E0A23"/>
    <w:rsid w:val="00906E4E"/>
    <w:rsid w:val="00920747"/>
    <w:rsid w:val="00944F37"/>
    <w:rsid w:val="0095483D"/>
    <w:rsid w:val="00954AEB"/>
    <w:rsid w:val="009555E1"/>
    <w:rsid w:val="00982B5A"/>
    <w:rsid w:val="00992163"/>
    <w:rsid w:val="00992869"/>
    <w:rsid w:val="009968CF"/>
    <w:rsid w:val="00997A6F"/>
    <w:rsid w:val="009A6556"/>
    <w:rsid w:val="009B16FD"/>
    <w:rsid w:val="009B7B08"/>
    <w:rsid w:val="009C1288"/>
    <w:rsid w:val="009C278A"/>
    <w:rsid w:val="009F1DC4"/>
    <w:rsid w:val="009F5C54"/>
    <w:rsid w:val="00A050CC"/>
    <w:rsid w:val="00A21B3A"/>
    <w:rsid w:val="00A25EAD"/>
    <w:rsid w:val="00A25F4C"/>
    <w:rsid w:val="00A6285D"/>
    <w:rsid w:val="00A768BD"/>
    <w:rsid w:val="00A804EC"/>
    <w:rsid w:val="00A85F5D"/>
    <w:rsid w:val="00A903CA"/>
    <w:rsid w:val="00AB2D0E"/>
    <w:rsid w:val="00AD2D6F"/>
    <w:rsid w:val="00AF18EB"/>
    <w:rsid w:val="00B1337A"/>
    <w:rsid w:val="00B26A12"/>
    <w:rsid w:val="00B31A72"/>
    <w:rsid w:val="00B41A82"/>
    <w:rsid w:val="00B866E3"/>
    <w:rsid w:val="00BA0CE4"/>
    <w:rsid w:val="00BB254F"/>
    <w:rsid w:val="00BC4BCB"/>
    <w:rsid w:val="00BC7E9E"/>
    <w:rsid w:val="00BE3584"/>
    <w:rsid w:val="00BF0137"/>
    <w:rsid w:val="00C31A2C"/>
    <w:rsid w:val="00C41406"/>
    <w:rsid w:val="00C57263"/>
    <w:rsid w:val="00C6245A"/>
    <w:rsid w:val="00C937D2"/>
    <w:rsid w:val="00C95511"/>
    <w:rsid w:val="00C977E4"/>
    <w:rsid w:val="00CA2651"/>
    <w:rsid w:val="00CA556A"/>
    <w:rsid w:val="00CB37FA"/>
    <w:rsid w:val="00CB5DDB"/>
    <w:rsid w:val="00CB6243"/>
    <w:rsid w:val="00CC5D5D"/>
    <w:rsid w:val="00CE4651"/>
    <w:rsid w:val="00CF2F07"/>
    <w:rsid w:val="00CF576F"/>
    <w:rsid w:val="00D17AB3"/>
    <w:rsid w:val="00D33C11"/>
    <w:rsid w:val="00D3795A"/>
    <w:rsid w:val="00D4332F"/>
    <w:rsid w:val="00D514C4"/>
    <w:rsid w:val="00D61C1A"/>
    <w:rsid w:val="00D64839"/>
    <w:rsid w:val="00D7420E"/>
    <w:rsid w:val="00D74AFA"/>
    <w:rsid w:val="00D90A7F"/>
    <w:rsid w:val="00D946C4"/>
    <w:rsid w:val="00D968D7"/>
    <w:rsid w:val="00DC307D"/>
    <w:rsid w:val="00DD635C"/>
    <w:rsid w:val="00DE02EF"/>
    <w:rsid w:val="00DE3F4D"/>
    <w:rsid w:val="00DE491F"/>
    <w:rsid w:val="00DF3879"/>
    <w:rsid w:val="00E04FA1"/>
    <w:rsid w:val="00E25463"/>
    <w:rsid w:val="00E4614D"/>
    <w:rsid w:val="00E86D3C"/>
    <w:rsid w:val="00E92B48"/>
    <w:rsid w:val="00E977AB"/>
    <w:rsid w:val="00EB62CB"/>
    <w:rsid w:val="00EE24FB"/>
    <w:rsid w:val="00EF3C60"/>
    <w:rsid w:val="00F01C92"/>
    <w:rsid w:val="00F74BFD"/>
    <w:rsid w:val="00FC49FD"/>
    <w:rsid w:val="00FF5BE2"/>
    <w:rsid w:val="065848A1"/>
    <w:rsid w:val="07741EF6"/>
    <w:rsid w:val="0AB8A471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40F690"/>
    <w:rsid w:val="28BF6097"/>
    <w:rsid w:val="28E4D635"/>
    <w:rsid w:val="2B06F0DF"/>
    <w:rsid w:val="2B9CA1AE"/>
    <w:rsid w:val="312910FA"/>
    <w:rsid w:val="3168CCF7"/>
    <w:rsid w:val="32F62508"/>
    <w:rsid w:val="33AD1068"/>
    <w:rsid w:val="35B3E4CE"/>
    <w:rsid w:val="397C63DA"/>
    <w:rsid w:val="39FD3542"/>
    <w:rsid w:val="3BD70C26"/>
    <w:rsid w:val="3C297F46"/>
    <w:rsid w:val="3DDDE08C"/>
    <w:rsid w:val="46621F8F"/>
    <w:rsid w:val="46871A1B"/>
    <w:rsid w:val="46CC110A"/>
    <w:rsid w:val="47728AE1"/>
    <w:rsid w:val="4A7C96A9"/>
    <w:rsid w:val="4C3E7420"/>
    <w:rsid w:val="4E0E42DA"/>
    <w:rsid w:val="4E184B04"/>
    <w:rsid w:val="512256CC"/>
    <w:rsid w:val="54BAE2FE"/>
    <w:rsid w:val="554A7C2D"/>
    <w:rsid w:val="5847EF63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DB36BF5"/>
    <w:rsid w:val="716A610B"/>
    <w:rsid w:val="75855337"/>
    <w:rsid w:val="780CF905"/>
    <w:rsid w:val="79FEC956"/>
    <w:rsid w:val="7C5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customStyle="1" w:styleId="scayt-misspell-word">
    <w:name w:val="scayt-misspell-word"/>
    <w:basedOn w:val="DefaultParagraphFont"/>
    <w:rsid w:val="005251E1"/>
  </w:style>
  <w:style w:type="character" w:customStyle="1" w:styleId="normaltextrun">
    <w:name w:val="normaltextrun"/>
    <w:basedOn w:val="DefaultParagraphFont"/>
    <w:rsid w:val="00D4332F"/>
  </w:style>
  <w:style w:type="character" w:customStyle="1" w:styleId="eop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DC3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E2CF-6D4F-422F-B969-0A221A3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53</cp:revision>
  <dcterms:created xsi:type="dcterms:W3CDTF">2023-05-24T06:55:00Z</dcterms:created>
  <dcterms:modified xsi:type="dcterms:W3CDTF">2023-10-11T09:38:00Z</dcterms:modified>
</cp:coreProperties>
</file>