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12ACC" w14:textId="79FDEDE8" w:rsidR="00137F01" w:rsidRPr="00A57181" w:rsidRDefault="00137F01" w:rsidP="00B55104">
      <w:pPr>
        <w:pStyle w:val="Standard"/>
        <w:jc w:val="center"/>
        <w:rPr>
          <w:b/>
          <w:szCs w:val="24"/>
        </w:rPr>
      </w:pPr>
      <w:r w:rsidRPr="00A57181">
        <w:rPr>
          <w:b/>
          <w:szCs w:val="24"/>
        </w:rPr>
        <w:t xml:space="preserve">Izziņa ar saņemtajiem komentāriem par </w:t>
      </w:r>
      <w:r w:rsidR="00CF2966">
        <w:rPr>
          <w:b/>
          <w:szCs w:val="24"/>
        </w:rPr>
        <w:t>ES</w:t>
      </w:r>
      <w:r w:rsidRPr="00A57181">
        <w:rPr>
          <w:b/>
          <w:szCs w:val="24"/>
        </w:rPr>
        <w:t xml:space="preserve"> fondu 2021.–2027.gada plānošanas perioda </w:t>
      </w:r>
      <w:r w:rsidR="00B55104">
        <w:rPr>
          <w:b/>
          <w:szCs w:val="24"/>
        </w:rPr>
        <w:t xml:space="preserve">Uzraudzības komitejas rakstiskajā procedūrā </w:t>
      </w:r>
      <w:r w:rsidRPr="00A57181">
        <w:rPr>
          <w:b/>
          <w:szCs w:val="24"/>
        </w:rPr>
        <w:t xml:space="preserve">izskatāmajiem </w:t>
      </w:r>
      <w:r w:rsidR="009B0994" w:rsidRPr="009B0994">
        <w:rPr>
          <w:b/>
          <w:szCs w:val="24"/>
        </w:rPr>
        <w:t>•</w:t>
      </w:r>
      <w:r w:rsidR="009B0994" w:rsidRPr="009B0994">
        <w:rPr>
          <w:b/>
          <w:szCs w:val="24"/>
        </w:rPr>
        <w:tab/>
        <w:t xml:space="preserve">Vides aizsardzības un reģionālās attīstības </w:t>
      </w:r>
      <w:r w:rsidR="00A57181" w:rsidRPr="00A57181">
        <w:rPr>
          <w:b/>
          <w:szCs w:val="24"/>
        </w:rPr>
        <w:t xml:space="preserve">ministrijas </w:t>
      </w:r>
      <w:r w:rsidR="009B0994">
        <w:rPr>
          <w:b/>
          <w:szCs w:val="24"/>
        </w:rPr>
        <w:t>2.2.2.1</w:t>
      </w:r>
      <w:r w:rsidR="00A57181" w:rsidRPr="00A57181">
        <w:rPr>
          <w:b/>
          <w:szCs w:val="24"/>
        </w:rPr>
        <w:t>.pasākuma “</w:t>
      </w:r>
      <w:r w:rsidR="009B0994" w:rsidRPr="009B0994">
        <w:rPr>
          <w:b/>
          <w:szCs w:val="24"/>
        </w:rPr>
        <w:t>Atkritumu šķirošana, pārstrāde un reģenerācija</w:t>
      </w:r>
      <w:r w:rsidR="00A57181" w:rsidRPr="00A57181">
        <w:rPr>
          <w:b/>
          <w:szCs w:val="24"/>
        </w:rPr>
        <w:t>”</w:t>
      </w:r>
      <w:r w:rsidR="009B0994">
        <w:rPr>
          <w:b/>
          <w:szCs w:val="24"/>
        </w:rPr>
        <w:t xml:space="preserve"> 1.kārtas</w:t>
      </w:r>
      <w:r w:rsidR="00A57181" w:rsidRPr="00A57181">
        <w:rPr>
          <w:b/>
          <w:szCs w:val="24"/>
        </w:rPr>
        <w:t xml:space="preserve"> </w:t>
      </w:r>
      <w:r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14737" w:type="dxa"/>
        <w:tblLook w:val="04A0" w:firstRow="1" w:lastRow="0" w:firstColumn="1" w:lastColumn="0" w:noHBand="0" w:noVBand="1"/>
      </w:tblPr>
      <w:tblGrid>
        <w:gridCol w:w="531"/>
        <w:gridCol w:w="1663"/>
        <w:gridCol w:w="6208"/>
        <w:gridCol w:w="4549"/>
        <w:gridCol w:w="1786"/>
      </w:tblGrid>
      <w:tr w:rsidR="00A57181" w:rsidRPr="003A1F75" w14:paraId="1DC85C06" w14:textId="77777777" w:rsidTr="0095169B">
        <w:tc>
          <w:tcPr>
            <w:tcW w:w="553" w:type="dxa"/>
          </w:tcPr>
          <w:p w14:paraId="4BB141E3" w14:textId="76725B81" w:rsidR="00A57181" w:rsidRPr="003A1F75" w:rsidRDefault="00A57181" w:rsidP="00137F01">
            <w:pPr>
              <w:pStyle w:val="Standard"/>
              <w:jc w:val="center"/>
              <w:rPr>
                <w:b/>
                <w:bCs/>
                <w:sz w:val="22"/>
              </w:rPr>
            </w:pPr>
            <w:r w:rsidRPr="003A1F75">
              <w:rPr>
                <w:b/>
                <w:bCs/>
                <w:sz w:val="22"/>
              </w:rPr>
              <w:t>Nr.</w:t>
            </w:r>
          </w:p>
        </w:tc>
        <w:tc>
          <w:tcPr>
            <w:tcW w:w="2126" w:type="dxa"/>
          </w:tcPr>
          <w:p w14:paraId="6A3984BE" w14:textId="1C6C92FE" w:rsidR="00A57181" w:rsidRPr="003A1F75" w:rsidRDefault="00A57181" w:rsidP="00137F01">
            <w:pPr>
              <w:pStyle w:val="Standard"/>
              <w:jc w:val="center"/>
              <w:rPr>
                <w:b/>
                <w:bCs/>
                <w:sz w:val="22"/>
              </w:rPr>
            </w:pPr>
            <w:r w:rsidRPr="003A1F75">
              <w:rPr>
                <w:b/>
                <w:bCs/>
                <w:sz w:val="22"/>
              </w:rPr>
              <w:t>Materiālu esošā redakcija</w:t>
            </w:r>
          </w:p>
        </w:tc>
        <w:tc>
          <w:tcPr>
            <w:tcW w:w="2703" w:type="dxa"/>
          </w:tcPr>
          <w:p w14:paraId="3BA660B7" w14:textId="17AF2DD9" w:rsidR="00A57181" w:rsidRPr="003A1F75" w:rsidRDefault="00A57181" w:rsidP="00A57181">
            <w:pPr>
              <w:pStyle w:val="Standard"/>
              <w:jc w:val="center"/>
              <w:rPr>
                <w:b/>
                <w:bCs/>
                <w:sz w:val="22"/>
              </w:rPr>
            </w:pPr>
            <w:r w:rsidRPr="003A1F75">
              <w:rPr>
                <w:b/>
                <w:bCs/>
                <w:sz w:val="22"/>
              </w:rPr>
              <w:t>AK dalībnieka komentārs</w:t>
            </w:r>
          </w:p>
        </w:tc>
        <w:tc>
          <w:tcPr>
            <w:tcW w:w="6946" w:type="dxa"/>
          </w:tcPr>
          <w:p w14:paraId="78D91156" w14:textId="52B5B91F" w:rsidR="00A57181" w:rsidRPr="003A1F75" w:rsidRDefault="00A57181" w:rsidP="00137F01">
            <w:pPr>
              <w:pStyle w:val="Standard"/>
              <w:jc w:val="center"/>
              <w:rPr>
                <w:b/>
                <w:bCs/>
                <w:sz w:val="22"/>
              </w:rPr>
            </w:pPr>
            <w:r w:rsidRPr="003A1F75">
              <w:rPr>
                <w:b/>
                <w:bCs/>
                <w:sz w:val="22"/>
              </w:rPr>
              <w:t>AI viedoklis</w:t>
            </w:r>
          </w:p>
        </w:tc>
        <w:tc>
          <w:tcPr>
            <w:tcW w:w="2409" w:type="dxa"/>
          </w:tcPr>
          <w:p w14:paraId="3A7B0DAC" w14:textId="0C266D42" w:rsidR="00A57181" w:rsidRPr="003A1F75" w:rsidRDefault="00A57181" w:rsidP="00137F01">
            <w:pPr>
              <w:pStyle w:val="Standard"/>
              <w:jc w:val="center"/>
              <w:rPr>
                <w:b/>
                <w:bCs/>
                <w:sz w:val="22"/>
              </w:rPr>
            </w:pPr>
            <w:r w:rsidRPr="003A1F75">
              <w:rPr>
                <w:b/>
                <w:bCs/>
                <w:sz w:val="22"/>
              </w:rPr>
              <w:t>Gala redakcija</w:t>
            </w:r>
          </w:p>
        </w:tc>
      </w:tr>
      <w:tr w:rsidR="00A57181" w:rsidRPr="003A1F75" w14:paraId="380416C8" w14:textId="77777777" w:rsidTr="0095169B">
        <w:tc>
          <w:tcPr>
            <w:tcW w:w="553" w:type="dxa"/>
          </w:tcPr>
          <w:p w14:paraId="2A7F122C" w14:textId="77777777" w:rsidR="00A57181" w:rsidRPr="003A1F75" w:rsidRDefault="00A57181" w:rsidP="00137F01">
            <w:pPr>
              <w:pStyle w:val="Standard"/>
              <w:jc w:val="center"/>
              <w:rPr>
                <w:b/>
                <w:bCs/>
                <w:sz w:val="22"/>
              </w:rPr>
            </w:pPr>
          </w:p>
        </w:tc>
        <w:tc>
          <w:tcPr>
            <w:tcW w:w="2126" w:type="dxa"/>
          </w:tcPr>
          <w:p w14:paraId="67E8DA1B" w14:textId="393A3207" w:rsidR="00A57181" w:rsidRPr="003A1F75" w:rsidRDefault="00A57181" w:rsidP="00137F01">
            <w:pPr>
              <w:pStyle w:val="Standard"/>
              <w:jc w:val="center"/>
              <w:rPr>
                <w:b/>
                <w:bCs/>
                <w:sz w:val="22"/>
              </w:rPr>
            </w:pPr>
            <w:r w:rsidRPr="003A1F75">
              <w:rPr>
                <w:b/>
                <w:bCs/>
                <w:sz w:val="22"/>
              </w:rPr>
              <w:t>1</w:t>
            </w:r>
          </w:p>
        </w:tc>
        <w:tc>
          <w:tcPr>
            <w:tcW w:w="2703" w:type="dxa"/>
          </w:tcPr>
          <w:p w14:paraId="6B041985" w14:textId="089E011A" w:rsidR="00A57181" w:rsidRPr="003A1F75" w:rsidRDefault="00A57181" w:rsidP="00137F01">
            <w:pPr>
              <w:pStyle w:val="Standard"/>
              <w:jc w:val="center"/>
              <w:rPr>
                <w:b/>
                <w:bCs/>
                <w:sz w:val="22"/>
              </w:rPr>
            </w:pPr>
            <w:r w:rsidRPr="003A1F75">
              <w:rPr>
                <w:b/>
                <w:bCs/>
                <w:sz w:val="22"/>
              </w:rPr>
              <w:t>2</w:t>
            </w:r>
          </w:p>
        </w:tc>
        <w:tc>
          <w:tcPr>
            <w:tcW w:w="6946" w:type="dxa"/>
          </w:tcPr>
          <w:p w14:paraId="1753E9BF" w14:textId="309CEBA8" w:rsidR="00A57181" w:rsidRPr="003A1F75" w:rsidRDefault="00A57181" w:rsidP="00137F01">
            <w:pPr>
              <w:pStyle w:val="Standard"/>
              <w:jc w:val="center"/>
              <w:rPr>
                <w:b/>
                <w:bCs/>
                <w:sz w:val="22"/>
              </w:rPr>
            </w:pPr>
            <w:r w:rsidRPr="003A1F75">
              <w:rPr>
                <w:b/>
                <w:bCs/>
                <w:sz w:val="22"/>
              </w:rPr>
              <w:t>3</w:t>
            </w:r>
          </w:p>
        </w:tc>
        <w:tc>
          <w:tcPr>
            <w:tcW w:w="2409" w:type="dxa"/>
          </w:tcPr>
          <w:p w14:paraId="093B038E" w14:textId="0F096221" w:rsidR="00A57181" w:rsidRPr="003A1F75" w:rsidRDefault="00A57181" w:rsidP="00137F01">
            <w:pPr>
              <w:pStyle w:val="Standard"/>
              <w:jc w:val="center"/>
              <w:rPr>
                <w:b/>
                <w:bCs/>
                <w:sz w:val="22"/>
              </w:rPr>
            </w:pPr>
            <w:r w:rsidRPr="003A1F75">
              <w:rPr>
                <w:b/>
                <w:bCs/>
                <w:sz w:val="22"/>
              </w:rPr>
              <w:t>3</w:t>
            </w:r>
          </w:p>
        </w:tc>
      </w:tr>
      <w:tr w:rsidR="00A57181" w:rsidRPr="003A1F75" w14:paraId="5F51158A" w14:textId="77777777" w:rsidTr="0095169B">
        <w:tc>
          <w:tcPr>
            <w:tcW w:w="14737" w:type="dxa"/>
            <w:gridSpan w:val="5"/>
            <w:shd w:val="clear" w:color="auto" w:fill="C5E0B3" w:themeFill="accent6" w:themeFillTint="66"/>
          </w:tcPr>
          <w:p w14:paraId="5E6EE4EC" w14:textId="30665F84" w:rsidR="00A57181" w:rsidRPr="003A1F75" w:rsidRDefault="00A57181" w:rsidP="00A57181">
            <w:pPr>
              <w:pStyle w:val="Standard"/>
              <w:jc w:val="both"/>
              <w:rPr>
                <w:b/>
                <w:bCs/>
                <w:sz w:val="22"/>
              </w:rPr>
            </w:pPr>
            <w:r w:rsidRPr="003A1F75">
              <w:rPr>
                <w:b/>
                <w:bCs/>
                <w:sz w:val="22"/>
              </w:rPr>
              <w:t>Par projektu iesniegumu vērtēšanas kritērijiem</w:t>
            </w:r>
          </w:p>
        </w:tc>
      </w:tr>
      <w:tr w:rsidR="00A57181" w:rsidRPr="003A1F75" w14:paraId="6D4B6E25" w14:textId="77777777" w:rsidTr="0095169B">
        <w:tc>
          <w:tcPr>
            <w:tcW w:w="553" w:type="dxa"/>
          </w:tcPr>
          <w:p w14:paraId="44B426E0" w14:textId="77777777" w:rsidR="00A57181" w:rsidRPr="003A1F75" w:rsidRDefault="00A57181" w:rsidP="00A57181">
            <w:pPr>
              <w:pStyle w:val="Standard"/>
              <w:numPr>
                <w:ilvl w:val="0"/>
                <w:numId w:val="13"/>
              </w:numPr>
              <w:ind w:hanging="1049"/>
              <w:jc w:val="center"/>
              <w:rPr>
                <w:sz w:val="22"/>
              </w:rPr>
            </w:pPr>
          </w:p>
        </w:tc>
        <w:tc>
          <w:tcPr>
            <w:tcW w:w="2126" w:type="dxa"/>
          </w:tcPr>
          <w:p w14:paraId="4E442DC0" w14:textId="0AC6F485" w:rsidR="00A57181" w:rsidRPr="003A1F75" w:rsidRDefault="00323E8A" w:rsidP="00177D5B">
            <w:pPr>
              <w:pStyle w:val="Standard"/>
              <w:jc w:val="both"/>
              <w:rPr>
                <w:b/>
                <w:bCs/>
                <w:sz w:val="22"/>
              </w:rPr>
            </w:pPr>
            <w:r w:rsidRPr="003A1F75">
              <w:rPr>
                <w:b/>
                <w:bCs/>
                <w:sz w:val="22"/>
              </w:rPr>
              <w:t>Vispārīgi</w:t>
            </w:r>
          </w:p>
        </w:tc>
        <w:tc>
          <w:tcPr>
            <w:tcW w:w="2703" w:type="dxa"/>
          </w:tcPr>
          <w:p w14:paraId="148E4E32" w14:textId="77777777" w:rsidR="00A57181" w:rsidRPr="003A1F75" w:rsidRDefault="00323E8A" w:rsidP="00177D5B">
            <w:pPr>
              <w:pStyle w:val="Standard"/>
              <w:jc w:val="both"/>
              <w:rPr>
                <w:b/>
                <w:bCs/>
                <w:sz w:val="22"/>
              </w:rPr>
            </w:pPr>
            <w:r w:rsidRPr="003A1F75">
              <w:rPr>
                <w:b/>
                <w:bCs/>
                <w:sz w:val="22"/>
              </w:rPr>
              <w:t>Eiropas Komisija</w:t>
            </w:r>
          </w:p>
          <w:p w14:paraId="58D5906F" w14:textId="77777777" w:rsidR="00323E8A" w:rsidRPr="003A1F75" w:rsidRDefault="00323E8A" w:rsidP="00177D5B">
            <w:pPr>
              <w:pStyle w:val="Standard"/>
              <w:jc w:val="both"/>
              <w:rPr>
                <w:sz w:val="22"/>
              </w:rPr>
            </w:pPr>
          </w:p>
          <w:p w14:paraId="05D904ED" w14:textId="77777777" w:rsidR="00323E8A" w:rsidRPr="003F1D33" w:rsidRDefault="00323E8A" w:rsidP="00323E8A">
            <w:pPr>
              <w:pStyle w:val="Standard"/>
              <w:jc w:val="both"/>
              <w:rPr>
                <w:sz w:val="22"/>
                <w:lang w:val="en-GB"/>
              </w:rPr>
            </w:pPr>
            <w:r w:rsidRPr="003F1D33">
              <w:rPr>
                <w:sz w:val="22"/>
                <w:lang w:val="en-GB"/>
              </w:rPr>
              <w:t xml:space="preserve">The selection criteria </w:t>
            </w:r>
            <w:proofErr w:type="gramStart"/>
            <w:r w:rsidRPr="003F1D33">
              <w:rPr>
                <w:sz w:val="22"/>
                <w:lang w:val="en-GB"/>
              </w:rPr>
              <w:t>does</w:t>
            </w:r>
            <w:proofErr w:type="gramEnd"/>
            <w:r w:rsidRPr="003F1D33">
              <w:rPr>
                <w:sz w:val="22"/>
                <w:lang w:val="en-GB"/>
              </w:rPr>
              <w:t xml:space="preserve"> not explicitly exclude investments in line with ERDF/CF Regulation (EU) 2021/1058 Article 7 (f) investment in disposal of waste in landfill and 7 (g) investment increasing the capacity of facilities for the treatment of residual waste:</w:t>
            </w:r>
          </w:p>
          <w:p w14:paraId="719E98D7" w14:textId="77777777" w:rsidR="00323E8A" w:rsidRPr="003F1D33" w:rsidRDefault="00323E8A" w:rsidP="00323E8A">
            <w:pPr>
              <w:pStyle w:val="Standard"/>
              <w:jc w:val="both"/>
              <w:rPr>
                <w:sz w:val="22"/>
                <w:lang w:val="en-GB"/>
              </w:rPr>
            </w:pPr>
          </w:p>
          <w:p w14:paraId="289BF871" w14:textId="6C5A5867" w:rsidR="00323E8A" w:rsidRPr="003A1F75" w:rsidRDefault="00323E8A" w:rsidP="00323E8A">
            <w:pPr>
              <w:pStyle w:val="Standard"/>
              <w:jc w:val="both"/>
              <w:rPr>
                <w:sz w:val="22"/>
              </w:rPr>
            </w:pPr>
            <w:r w:rsidRPr="003F1D33">
              <w:rPr>
                <w:sz w:val="22"/>
                <w:lang w:val="en-GB"/>
              </w:rPr>
              <w:t xml:space="preserve">The supported activities include “purchase of machinery (including vehicles)”. In this regard, we kindly ask you to ensure that the vehicles are in line with Article 7 ERDF/CF Regulation, which does not allow to support investments in vehicles involving the “production, processing, transport, distribution, storage or combustion of fossil fuels”. The definition of “clean vehicles” and the exclusions and exceptions of Article 7 ERDF/CF Regulation also </w:t>
            </w:r>
            <w:proofErr w:type="gramStart"/>
            <w:r w:rsidRPr="003F1D33">
              <w:rPr>
                <w:sz w:val="22"/>
                <w:lang w:val="en-GB"/>
              </w:rPr>
              <w:t>apply</w:t>
            </w:r>
            <w:proofErr w:type="gramEnd"/>
            <w:r w:rsidRPr="003F1D33">
              <w:rPr>
                <w:sz w:val="22"/>
                <w:lang w:val="en-GB"/>
              </w:rPr>
              <w:t xml:space="preserve"> “to the special purpose vehicles” as listed in the recast of Directive 2009/33/EC.</w:t>
            </w:r>
          </w:p>
        </w:tc>
        <w:tc>
          <w:tcPr>
            <w:tcW w:w="6946" w:type="dxa"/>
          </w:tcPr>
          <w:p w14:paraId="6EB0FE16" w14:textId="77777777" w:rsidR="00A57181" w:rsidRPr="00E1478B" w:rsidRDefault="006E2A1D" w:rsidP="00177D5B">
            <w:pPr>
              <w:pStyle w:val="Standard"/>
              <w:jc w:val="both"/>
              <w:rPr>
                <w:b/>
                <w:bCs/>
                <w:color w:val="000000" w:themeColor="text1"/>
                <w:sz w:val="22"/>
              </w:rPr>
            </w:pPr>
            <w:r w:rsidRPr="00E1478B">
              <w:rPr>
                <w:b/>
                <w:bCs/>
                <w:color w:val="000000" w:themeColor="text1"/>
                <w:sz w:val="22"/>
              </w:rPr>
              <w:t>Ņemts vērā</w:t>
            </w:r>
          </w:p>
          <w:p w14:paraId="6A510E44" w14:textId="632E52AA" w:rsidR="005056F5" w:rsidRPr="00E1478B" w:rsidRDefault="0095169B" w:rsidP="0095169B">
            <w:pPr>
              <w:pStyle w:val="Standard"/>
              <w:jc w:val="both"/>
              <w:rPr>
                <w:color w:val="000000" w:themeColor="text1"/>
                <w:sz w:val="22"/>
              </w:rPr>
            </w:pPr>
            <w:r w:rsidRPr="00E1478B">
              <w:rPr>
                <w:color w:val="000000" w:themeColor="text1"/>
                <w:sz w:val="22"/>
              </w:rPr>
              <w:t xml:space="preserve">Skaidrojam, ka 2.2.2.1. pasākuma projektu iesniegumu atlases pirmajā kārtā tiks atbalstīta tikai </w:t>
            </w:r>
            <w:r w:rsidRPr="00E1478B">
              <w:rPr>
                <w:color w:val="000000" w:themeColor="text1"/>
                <w:sz w:val="22"/>
                <w:u w:val="single"/>
              </w:rPr>
              <w:t>jaunu atkritumu pārstrādes iekārtu izveide</w:t>
            </w:r>
            <w:r w:rsidRPr="00E1478B">
              <w:rPr>
                <w:color w:val="000000" w:themeColor="text1"/>
                <w:sz w:val="22"/>
              </w:rPr>
              <w:t xml:space="preserve">. MK noteikumu projektā iekļauta norma, ka atlases kārtas ietvaros nav atbalstāmi ieguldījumi atkritumu reģenerācijas iekārtu izveidē, kas atbilst Regulas 2021/1058 7. panta g apakšpunkta nosacījumam. </w:t>
            </w:r>
            <w:r w:rsidR="007202AD" w:rsidRPr="00E1478B">
              <w:rPr>
                <w:color w:val="000000" w:themeColor="text1"/>
                <w:sz w:val="22"/>
              </w:rPr>
              <w:t xml:space="preserve">MK noteikumu projektā iekļausim arī normu par to, ka nav atbalstāmi ieguldījumi atkritumu apglabāšanai poligonos. Līdz ar to </w:t>
            </w:r>
            <w:r w:rsidR="00100581" w:rsidRPr="00E1478B">
              <w:rPr>
                <w:color w:val="000000" w:themeColor="text1"/>
                <w:sz w:val="22"/>
              </w:rPr>
              <w:t xml:space="preserve">projekta atbilstību </w:t>
            </w:r>
            <w:r w:rsidR="00763DFB" w:rsidRPr="00E1478B">
              <w:rPr>
                <w:color w:val="000000" w:themeColor="text1"/>
                <w:sz w:val="22"/>
              </w:rPr>
              <w:t>izslēgtajām darbībām varēs pārbaudīt</w:t>
            </w:r>
            <w:r w:rsidR="000705A7" w:rsidRPr="00E1478B">
              <w:rPr>
                <w:color w:val="000000" w:themeColor="text1"/>
                <w:sz w:val="22"/>
              </w:rPr>
              <w:t>, izvērtējot projekta atbilstību vienotajam kritērijam Nr.1.3.</w:t>
            </w:r>
            <w:r w:rsidR="00890897" w:rsidRPr="00E1478B">
              <w:rPr>
                <w:color w:val="000000" w:themeColor="text1"/>
                <w:sz w:val="22"/>
              </w:rPr>
              <w:t xml:space="preserve">, kas vērtē </w:t>
            </w:r>
            <w:r w:rsidR="003F6BA5" w:rsidRPr="00E1478B">
              <w:rPr>
                <w:color w:val="000000" w:themeColor="text1"/>
                <w:sz w:val="22"/>
              </w:rPr>
              <w:t xml:space="preserve">attiecināmo izmaksu </w:t>
            </w:r>
            <w:r w:rsidR="002D3EFC" w:rsidRPr="00E1478B">
              <w:rPr>
                <w:color w:val="000000" w:themeColor="text1"/>
                <w:sz w:val="22"/>
              </w:rPr>
              <w:t xml:space="preserve">saistību ar </w:t>
            </w:r>
            <w:r w:rsidR="00B26900" w:rsidRPr="00E1478B">
              <w:rPr>
                <w:color w:val="000000" w:themeColor="text1"/>
                <w:sz w:val="22"/>
              </w:rPr>
              <w:t xml:space="preserve">projekta darbībām. </w:t>
            </w:r>
            <w:r w:rsidRPr="00E1478B">
              <w:rPr>
                <w:color w:val="000000" w:themeColor="text1"/>
                <w:sz w:val="22"/>
              </w:rPr>
              <w:t>Izmaiņas MK noteikumos neietekmē projektu iesniegumu vērtēšanas kritēriju</w:t>
            </w:r>
            <w:r w:rsidR="00EF00E6" w:rsidRPr="00E1478B">
              <w:rPr>
                <w:color w:val="000000" w:themeColor="text1"/>
                <w:sz w:val="22"/>
              </w:rPr>
              <w:t xml:space="preserve"> redakciju</w:t>
            </w:r>
            <w:r w:rsidRPr="00E1478B">
              <w:rPr>
                <w:color w:val="000000" w:themeColor="text1"/>
                <w:sz w:val="22"/>
              </w:rPr>
              <w:t>.</w:t>
            </w:r>
            <w:r w:rsidR="00747747" w:rsidRPr="00E1478B">
              <w:rPr>
                <w:color w:val="000000" w:themeColor="text1"/>
                <w:sz w:val="22"/>
              </w:rPr>
              <w:t xml:space="preserve"> Sas</w:t>
            </w:r>
            <w:r w:rsidR="00EC1EBB" w:rsidRPr="00E1478B">
              <w:rPr>
                <w:color w:val="000000" w:themeColor="text1"/>
                <w:sz w:val="22"/>
              </w:rPr>
              <w:t xml:space="preserve">kaņojot </w:t>
            </w:r>
            <w:r w:rsidR="00A20C1C" w:rsidRPr="00E1478B">
              <w:rPr>
                <w:color w:val="000000" w:themeColor="text1"/>
                <w:sz w:val="22"/>
              </w:rPr>
              <w:t xml:space="preserve">atlases nolikumu, iekļausim attiecīgu </w:t>
            </w:r>
            <w:r w:rsidR="001A4F03" w:rsidRPr="00E1478B">
              <w:rPr>
                <w:color w:val="000000" w:themeColor="text1"/>
                <w:sz w:val="22"/>
              </w:rPr>
              <w:t>papildinājumu pie kritērija Nr.1.3. piemērošanas skaidrojuma.</w:t>
            </w:r>
          </w:p>
          <w:p w14:paraId="2DC4A139" w14:textId="77777777" w:rsidR="0009733F" w:rsidRPr="00E1478B" w:rsidRDefault="0009733F" w:rsidP="00177D5B">
            <w:pPr>
              <w:pStyle w:val="Standard"/>
              <w:jc w:val="both"/>
              <w:rPr>
                <w:color w:val="000000" w:themeColor="text1"/>
                <w:sz w:val="22"/>
              </w:rPr>
            </w:pPr>
          </w:p>
          <w:p w14:paraId="0296CACA" w14:textId="184E2C66" w:rsidR="009B1D4F" w:rsidRPr="00E1478B" w:rsidRDefault="008776ED" w:rsidP="002B3112">
            <w:pPr>
              <w:pStyle w:val="Standard"/>
              <w:jc w:val="both"/>
              <w:rPr>
                <w:color w:val="000000" w:themeColor="text1"/>
                <w:sz w:val="22"/>
              </w:rPr>
            </w:pPr>
            <w:r w:rsidRPr="00E1478B">
              <w:rPr>
                <w:color w:val="000000" w:themeColor="text1"/>
                <w:sz w:val="22"/>
              </w:rPr>
              <w:t xml:space="preserve">Skaidrojam, ka </w:t>
            </w:r>
            <w:r w:rsidR="001A4F03" w:rsidRPr="00E1478B">
              <w:rPr>
                <w:color w:val="000000" w:themeColor="text1"/>
                <w:sz w:val="22"/>
              </w:rPr>
              <w:t xml:space="preserve">šajā </w:t>
            </w:r>
            <w:r w:rsidR="00250288" w:rsidRPr="00E1478B">
              <w:rPr>
                <w:color w:val="000000" w:themeColor="text1"/>
                <w:sz w:val="22"/>
              </w:rPr>
              <w:t>pasākum</w:t>
            </w:r>
            <w:r w:rsidR="001A4F03" w:rsidRPr="00E1478B">
              <w:rPr>
                <w:color w:val="000000" w:themeColor="text1"/>
                <w:sz w:val="22"/>
              </w:rPr>
              <w:t>ā plānota dažāda veida</w:t>
            </w:r>
            <w:r w:rsidR="0070384D" w:rsidRPr="00E1478B">
              <w:rPr>
                <w:color w:val="000000" w:themeColor="text1"/>
                <w:sz w:val="22"/>
              </w:rPr>
              <w:t xml:space="preserve"> </w:t>
            </w:r>
            <w:r w:rsidR="00BC0908" w:rsidRPr="00E1478B">
              <w:rPr>
                <w:color w:val="000000" w:themeColor="text1"/>
                <w:sz w:val="22"/>
              </w:rPr>
              <w:t xml:space="preserve">tehnisko </w:t>
            </w:r>
            <w:r w:rsidR="0070384D" w:rsidRPr="00E1478B">
              <w:rPr>
                <w:color w:val="000000" w:themeColor="text1"/>
                <w:sz w:val="22"/>
              </w:rPr>
              <w:t xml:space="preserve">iekārtu iegāde, kas </w:t>
            </w:r>
            <w:r w:rsidR="008D1071" w:rsidRPr="00E1478B">
              <w:rPr>
                <w:color w:val="000000" w:themeColor="text1"/>
                <w:sz w:val="22"/>
              </w:rPr>
              <w:t xml:space="preserve">projektā </w:t>
            </w:r>
            <w:r w:rsidR="001E601E" w:rsidRPr="00E1478B">
              <w:rPr>
                <w:color w:val="000000" w:themeColor="text1"/>
                <w:sz w:val="22"/>
              </w:rPr>
              <w:t xml:space="preserve">nodrošina </w:t>
            </w:r>
            <w:r w:rsidR="00BC0908" w:rsidRPr="00E1478B">
              <w:rPr>
                <w:color w:val="000000" w:themeColor="text1"/>
                <w:sz w:val="22"/>
              </w:rPr>
              <w:t>atkritumu pārstrādes</w:t>
            </w:r>
            <w:r w:rsidR="001E601E" w:rsidRPr="00E1478B">
              <w:rPr>
                <w:color w:val="000000" w:themeColor="text1"/>
                <w:sz w:val="22"/>
              </w:rPr>
              <w:t xml:space="preserve"> </w:t>
            </w:r>
            <w:r w:rsidR="003A4907" w:rsidRPr="00E1478B">
              <w:rPr>
                <w:color w:val="000000" w:themeColor="text1"/>
                <w:sz w:val="22"/>
              </w:rPr>
              <w:t>darbību</w:t>
            </w:r>
            <w:r w:rsidR="002F00BE" w:rsidRPr="00E1478B">
              <w:rPr>
                <w:color w:val="000000" w:themeColor="text1"/>
                <w:sz w:val="22"/>
              </w:rPr>
              <w:t xml:space="preserve">. Tie ir, piemēram, </w:t>
            </w:r>
            <w:r w:rsidR="00275996" w:rsidRPr="00E1478B">
              <w:rPr>
                <w:color w:val="000000" w:themeColor="text1"/>
                <w:sz w:val="22"/>
              </w:rPr>
              <w:t>iekrāvēji, pacēlāji,</w:t>
            </w:r>
            <w:r w:rsidR="00223F3F" w:rsidRPr="00E1478B">
              <w:rPr>
                <w:color w:val="000000" w:themeColor="text1"/>
                <w:sz w:val="22"/>
              </w:rPr>
              <w:t xml:space="preserve"> celtņi,</w:t>
            </w:r>
            <w:r w:rsidR="00275996" w:rsidRPr="00E1478B">
              <w:rPr>
                <w:color w:val="000000" w:themeColor="text1"/>
                <w:sz w:val="22"/>
              </w:rPr>
              <w:t xml:space="preserve"> </w:t>
            </w:r>
            <w:r w:rsidR="0009147B" w:rsidRPr="00E1478B">
              <w:rPr>
                <w:color w:val="000000" w:themeColor="text1"/>
                <w:sz w:val="22"/>
              </w:rPr>
              <w:t>ekskavatori u.tml.</w:t>
            </w:r>
            <w:r w:rsidR="009276D0" w:rsidRPr="00E1478B">
              <w:rPr>
                <w:color w:val="000000" w:themeColor="text1"/>
                <w:sz w:val="22"/>
              </w:rPr>
              <w:t xml:space="preserve"> </w:t>
            </w:r>
            <w:r w:rsidR="00E21547" w:rsidRPr="00E1478B">
              <w:rPr>
                <w:color w:val="000000" w:themeColor="text1"/>
                <w:sz w:val="22"/>
              </w:rPr>
              <w:t xml:space="preserve">komunālā vai </w:t>
            </w:r>
            <w:r w:rsidR="009276D0" w:rsidRPr="00E1478B">
              <w:rPr>
                <w:color w:val="000000" w:themeColor="text1"/>
                <w:sz w:val="22"/>
              </w:rPr>
              <w:t>traktortehnika.</w:t>
            </w:r>
            <w:r w:rsidR="002F00BE" w:rsidRPr="00E1478B">
              <w:rPr>
                <w:color w:val="000000" w:themeColor="text1"/>
                <w:sz w:val="22"/>
              </w:rPr>
              <w:t xml:space="preserve"> </w:t>
            </w:r>
            <w:r w:rsidR="00854005" w:rsidRPr="00E1478B">
              <w:rPr>
                <w:color w:val="000000" w:themeColor="text1"/>
                <w:sz w:val="22"/>
              </w:rPr>
              <w:t>Tie uzskatāmi par pārviet</w:t>
            </w:r>
            <w:r w:rsidR="00BD0CE2" w:rsidRPr="00E1478B">
              <w:rPr>
                <w:color w:val="000000" w:themeColor="text1"/>
                <w:sz w:val="22"/>
              </w:rPr>
              <w:t>ojamiem agregātiem</w:t>
            </w:r>
            <w:r w:rsidR="00996E0F" w:rsidRPr="00E1478B">
              <w:rPr>
                <w:color w:val="000000" w:themeColor="text1"/>
                <w:sz w:val="22"/>
              </w:rPr>
              <w:t xml:space="preserve">, </w:t>
            </w:r>
            <w:r w:rsidR="000B1AFA" w:rsidRPr="00E1478B">
              <w:rPr>
                <w:color w:val="000000" w:themeColor="text1"/>
                <w:sz w:val="22"/>
              </w:rPr>
              <w:t>kurus neizmanto ceļu satiksmē.</w:t>
            </w:r>
            <w:r w:rsidR="00033626" w:rsidRPr="00E1478B">
              <w:rPr>
                <w:color w:val="000000" w:themeColor="text1"/>
                <w:sz w:val="22"/>
              </w:rPr>
              <w:t xml:space="preserve"> </w:t>
            </w:r>
            <w:r w:rsidR="00A3395F" w:rsidRPr="00E1478B">
              <w:rPr>
                <w:color w:val="000000" w:themeColor="text1"/>
                <w:sz w:val="22"/>
              </w:rPr>
              <w:t>Pasākumā netiek plānota</w:t>
            </w:r>
            <w:r w:rsidR="00035CF1" w:rsidRPr="00E1478B">
              <w:rPr>
                <w:color w:val="000000" w:themeColor="text1"/>
                <w:sz w:val="22"/>
              </w:rPr>
              <w:t xml:space="preserve"> </w:t>
            </w:r>
            <w:r w:rsidR="009276D0" w:rsidRPr="00E1478B">
              <w:rPr>
                <w:color w:val="000000" w:themeColor="text1"/>
                <w:sz w:val="22"/>
              </w:rPr>
              <w:t>M</w:t>
            </w:r>
            <w:r w:rsidR="009276D0" w:rsidRPr="00E1478B">
              <w:rPr>
                <w:color w:val="000000" w:themeColor="text1"/>
                <w:sz w:val="22"/>
                <w:vertAlign w:val="subscript"/>
              </w:rPr>
              <w:t>1</w:t>
            </w:r>
            <w:r w:rsidR="009276D0" w:rsidRPr="00E1478B">
              <w:rPr>
                <w:color w:val="000000" w:themeColor="text1"/>
                <w:sz w:val="22"/>
              </w:rPr>
              <w:t>, M</w:t>
            </w:r>
            <w:r w:rsidR="009276D0" w:rsidRPr="00E1478B">
              <w:rPr>
                <w:color w:val="000000" w:themeColor="text1"/>
                <w:sz w:val="22"/>
                <w:vertAlign w:val="subscript"/>
              </w:rPr>
              <w:t>2</w:t>
            </w:r>
            <w:r w:rsidR="009276D0" w:rsidRPr="00E1478B">
              <w:rPr>
                <w:color w:val="000000" w:themeColor="text1"/>
                <w:sz w:val="22"/>
              </w:rPr>
              <w:t xml:space="preserve"> vai N</w:t>
            </w:r>
            <w:r w:rsidR="009276D0" w:rsidRPr="00E1478B">
              <w:rPr>
                <w:color w:val="000000" w:themeColor="text1"/>
                <w:sz w:val="22"/>
                <w:vertAlign w:val="subscript"/>
              </w:rPr>
              <w:t>1</w:t>
            </w:r>
            <w:r w:rsidR="009276D0" w:rsidRPr="00E1478B">
              <w:rPr>
                <w:color w:val="000000" w:themeColor="text1"/>
                <w:sz w:val="22"/>
              </w:rPr>
              <w:t xml:space="preserve"> kategorijas transportlīdzekļu iegāde</w:t>
            </w:r>
            <w:r w:rsidR="009B1D4F" w:rsidRPr="00E1478B">
              <w:rPr>
                <w:color w:val="000000" w:themeColor="text1"/>
                <w:sz w:val="22"/>
              </w:rPr>
              <w:t>.</w:t>
            </w:r>
            <w:r w:rsidR="00155E58" w:rsidRPr="00E1478B">
              <w:rPr>
                <w:color w:val="000000" w:themeColor="text1"/>
                <w:sz w:val="22"/>
              </w:rPr>
              <w:t xml:space="preserve"> Līdz ar to</w:t>
            </w:r>
            <w:r w:rsidR="00FC4724" w:rsidRPr="00E1478B">
              <w:rPr>
                <w:color w:val="000000" w:themeColor="text1"/>
                <w:sz w:val="22"/>
              </w:rPr>
              <w:t xml:space="preserve"> uzskatāms, ka </w:t>
            </w:r>
            <w:r w:rsidR="00DD1EAB" w:rsidRPr="00E1478B">
              <w:rPr>
                <w:color w:val="000000" w:themeColor="text1"/>
                <w:sz w:val="22"/>
              </w:rPr>
              <w:t>šāda veida iekārt</w:t>
            </w:r>
            <w:r w:rsidR="00983E21" w:rsidRPr="00E1478B">
              <w:rPr>
                <w:color w:val="000000" w:themeColor="text1"/>
                <w:sz w:val="22"/>
              </w:rPr>
              <w:t xml:space="preserve">as ir </w:t>
            </w:r>
            <w:r w:rsidR="009A4552" w:rsidRPr="00E1478B">
              <w:rPr>
                <w:color w:val="000000" w:themeColor="text1"/>
                <w:sz w:val="22"/>
              </w:rPr>
              <w:t xml:space="preserve">atbalstāmās no </w:t>
            </w:r>
            <w:r w:rsidR="002B3112" w:rsidRPr="00E1478B">
              <w:rPr>
                <w:color w:val="000000" w:themeColor="text1"/>
                <w:sz w:val="22"/>
              </w:rPr>
              <w:t>Eiropas Reģionālā attīstības fonda vai Kohēzijas fonda.</w:t>
            </w:r>
            <w:r w:rsidR="003626FB" w:rsidRPr="00E1478B">
              <w:rPr>
                <w:color w:val="000000" w:themeColor="text1"/>
                <w:sz w:val="22"/>
              </w:rPr>
              <w:t xml:space="preserve"> </w:t>
            </w:r>
          </w:p>
        </w:tc>
        <w:tc>
          <w:tcPr>
            <w:tcW w:w="2409" w:type="dxa"/>
          </w:tcPr>
          <w:p w14:paraId="6DEE62A6" w14:textId="5F63B1D2" w:rsidR="00A57181" w:rsidRPr="003A1F75" w:rsidRDefault="001419B8" w:rsidP="00177D5B">
            <w:pPr>
              <w:pStyle w:val="Standard"/>
              <w:jc w:val="both"/>
              <w:rPr>
                <w:sz w:val="22"/>
              </w:rPr>
            </w:pPr>
            <w:r>
              <w:rPr>
                <w:sz w:val="22"/>
              </w:rPr>
              <w:t>-</w:t>
            </w:r>
          </w:p>
        </w:tc>
      </w:tr>
      <w:tr w:rsidR="00177D5B" w:rsidRPr="003A1F75" w14:paraId="7D68D4D3" w14:textId="77777777" w:rsidTr="0095169B">
        <w:tc>
          <w:tcPr>
            <w:tcW w:w="14737" w:type="dxa"/>
            <w:gridSpan w:val="5"/>
            <w:shd w:val="clear" w:color="auto" w:fill="C5E0B3" w:themeFill="accent6" w:themeFillTint="66"/>
          </w:tcPr>
          <w:p w14:paraId="3FC1806E" w14:textId="7CEDAE2B" w:rsidR="00177D5B" w:rsidRPr="00E1478B" w:rsidRDefault="00177D5B" w:rsidP="00177D5B">
            <w:pPr>
              <w:pStyle w:val="Standard"/>
              <w:jc w:val="both"/>
              <w:rPr>
                <w:b/>
                <w:bCs/>
                <w:color w:val="000000" w:themeColor="text1"/>
                <w:sz w:val="22"/>
              </w:rPr>
            </w:pPr>
            <w:r w:rsidRPr="00E1478B">
              <w:rPr>
                <w:b/>
                <w:bCs/>
                <w:color w:val="000000" w:themeColor="text1"/>
                <w:sz w:val="22"/>
              </w:rPr>
              <w:t>Par kritēriju piemērošanas metodiku</w:t>
            </w:r>
          </w:p>
        </w:tc>
      </w:tr>
      <w:tr w:rsidR="00177D5B" w:rsidRPr="003A1F75" w14:paraId="68517DB1" w14:textId="77777777" w:rsidTr="0095169B">
        <w:tc>
          <w:tcPr>
            <w:tcW w:w="553" w:type="dxa"/>
          </w:tcPr>
          <w:p w14:paraId="538CAED9" w14:textId="77777777" w:rsidR="00177D5B" w:rsidRPr="003A1F75" w:rsidRDefault="00177D5B" w:rsidP="00A57181">
            <w:pPr>
              <w:pStyle w:val="Standard"/>
              <w:numPr>
                <w:ilvl w:val="0"/>
                <w:numId w:val="13"/>
              </w:numPr>
              <w:ind w:hanging="1049"/>
              <w:jc w:val="center"/>
              <w:rPr>
                <w:sz w:val="22"/>
              </w:rPr>
            </w:pPr>
          </w:p>
        </w:tc>
        <w:tc>
          <w:tcPr>
            <w:tcW w:w="2126" w:type="dxa"/>
          </w:tcPr>
          <w:p w14:paraId="571CA4EE" w14:textId="5B1E8B6F" w:rsidR="00177D5B" w:rsidRPr="003A1F75" w:rsidRDefault="00323E8A" w:rsidP="00177D5B">
            <w:pPr>
              <w:pStyle w:val="Standard"/>
              <w:jc w:val="both"/>
              <w:rPr>
                <w:b/>
                <w:bCs/>
                <w:sz w:val="22"/>
              </w:rPr>
            </w:pPr>
            <w:r w:rsidRPr="003A1F75">
              <w:rPr>
                <w:b/>
                <w:bCs/>
                <w:sz w:val="22"/>
              </w:rPr>
              <w:t>Vispārīgi</w:t>
            </w:r>
          </w:p>
        </w:tc>
        <w:tc>
          <w:tcPr>
            <w:tcW w:w="2703" w:type="dxa"/>
          </w:tcPr>
          <w:p w14:paraId="32D9C280" w14:textId="77777777" w:rsidR="00177D5B" w:rsidRPr="003A1F75" w:rsidRDefault="00323E8A" w:rsidP="00323E8A">
            <w:pPr>
              <w:pStyle w:val="Standard"/>
              <w:jc w:val="both"/>
              <w:rPr>
                <w:b/>
                <w:bCs/>
                <w:sz w:val="22"/>
              </w:rPr>
            </w:pPr>
            <w:r w:rsidRPr="003A1F75">
              <w:rPr>
                <w:b/>
                <w:bCs/>
                <w:sz w:val="22"/>
              </w:rPr>
              <w:t>Finanšu ministrija (KAKD)</w:t>
            </w:r>
          </w:p>
          <w:p w14:paraId="226E5FD4" w14:textId="77777777" w:rsidR="00323E8A" w:rsidRPr="003A1F75" w:rsidRDefault="00323E8A" w:rsidP="00323E8A">
            <w:pPr>
              <w:pStyle w:val="Standard"/>
              <w:jc w:val="both"/>
              <w:rPr>
                <w:sz w:val="22"/>
              </w:rPr>
            </w:pPr>
          </w:p>
          <w:p w14:paraId="00F02019" w14:textId="6DE04390" w:rsidR="00323E8A" w:rsidRPr="003A1F75" w:rsidRDefault="00323E8A" w:rsidP="00323E8A">
            <w:pPr>
              <w:suppressAutoHyphens w:val="0"/>
              <w:autoSpaceDN/>
              <w:jc w:val="both"/>
              <w:textAlignment w:val="auto"/>
              <w:rPr>
                <w:rFonts w:eastAsia="Times New Roman" w:cs="Calibri"/>
                <w:color w:val="FF0000"/>
                <w:kern w:val="0"/>
                <w:sz w:val="22"/>
              </w:rPr>
            </w:pPr>
            <w:r w:rsidRPr="003A1F75">
              <w:rPr>
                <w:rFonts w:eastAsia="Times New Roman" w:cstheme="minorBidi"/>
                <w:sz w:val="22"/>
              </w:rPr>
              <w:t xml:space="preserve">Ņemot vērā to, ka attiecībā uz Komisijas regulas Nr.651/2014 47.panta 7.punkta interpretāciju ir iesniegs dalībvalsts jautājums Eiropas Komisijai, aicinām sekot līdzi Eiropas Komisijas viedokļa saņemšanai un nepieciešamības gadījumā pēc noteikumu projekta spēkā stāšanās virzīt grozījumus noteikumos un attiecīgi arī metodikā. (Jautājums pieejams: </w:t>
            </w:r>
            <w:hyperlink r:id="rId8" w:history="1">
              <w:r w:rsidRPr="003A1F75">
                <w:rPr>
                  <w:rStyle w:val="Hyperlink"/>
                  <w:rFonts w:eastAsia="Times New Roman" w:cstheme="minorBidi"/>
                  <w:sz w:val="22"/>
                </w:rPr>
                <w:t>https://webgate.ec.europa.eu/fpfis/wikis/display/StateAid/Art.+47+-+Resource+efficiency</w:t>
              </w:r>
            </w:hyperlink>
            <w:r w:rsidRPr="003A1F75">
              <w:rPr>
                <w:rFonts w:eastAsia="Times New Roman" w:cstheme="minorBidi"/>
                <w:sz w:val="22"/>
              </w:rPr>
              <w:t>)</w:t>
            </w:r>
            <w:r w:rsidRPr="003A1F75">
              <w:rPr>
                <w:rFonts w:eastAsia="Times New Roman" w:cstheme="minorBidi"/>
                <w:color w:val="FF0000"/>
                <w:sz w:val="22"/>
              </w:rPr>
              <w:t xml:space="preserve"> </w:t>
            </w:r>
          </w:p>
        </w:tc>
        <w:tc>
          <w:tcPr>
            <w:tcW w:w="6946" w:type="dxa"/>
          </w:tcPr>
          <w:p w14:paraId="27411D2C" w14:textId="77777777" w:rsidR="00177D5B" w:rsidRPr="00E1478B" w:rsidRDefault="00C03394" w:rsidP="00177D5B">
            <w:pPr>
              <w:pStyle w:val="Standard"/>
              <w:jc w:val="both"/>
              <w:rPr>
                <w:b/>
                <w:bCs/>
                <w:color w:val="000000" w:themeColor="text1"/>
                <w:sz w:val="22"/>
              </w:rPr>
            </w:pPr>
            <w:r w:rsidRPr="00E1478B">
              <w:rPr>
                <w:b/>
                <w:bCs/>
                <w:color w:val="000000" w:themeColor="text1"/>
                <w:sz w:val="22"/>
              </w:rPr>
              <w:t>Ņemts vērā</w:t>
            </w:r>
          </w:p>
          <w:p w14:paraId="170C0633" w14:textId="060DAA22" w:rsidR="001F6F37" w:rsidRPr="00E1478B" w:rsidRDefault="0095169B" w:rsidP="0095169B">
            <w:pPr>
              <w:pStyle w:val="Standard"/>
              <w:jc w:val="both"/>
              <w:rPr>
                <w:color w:val="000000" w:themeColor="text1"/>
                <w:sz w:val="22"/>
              </w:rPr>
            </w:pPr>
            <w:r w:rsidRPr="00E1478B">
              <w:rPr>
                <w:color w:val="000000" w:themeColor="text1"/>
                <w:sz w:val="22"/>
              </w:rPr>
              <w:t>Sekosim līdzi jautājuma virzībai.</w:t>
            </w:r>
            <w:r w:rsidR="7F5A4A44" w:rsidRPr="00E1478B">
              <w:rPr>
                <w:color w:val="000000" w:themeColor="text1"/>
                <w:sz w:val="22"/>
              </w:rPr>
              <w:t xml:space="preserve"> Ievērojot</w:t>
            </w:r>
            <w:r w:rsidR="00CC1FC0" w:rsidRPr="00E1478B">
              <w:rPr>
                <w:color w:val="000000" w:themeColor="text1"/>
                <w:sz w:val="22"/>
              </w:rPr>
              <w:t xml:space="preserve"> Vispārējās regulas</w:t>
            </w:r>
            <w:r w:rsidR="00CC1FC0" w:rsidRPr="00E1478B">
              <w:rPr>
                <w:rStyle w:val="FootnoteReference"/>
                <w:color w:val="000000" w:themeColor="text1"/>
                <w:sz w:val="22"/>
              </w:rPr>
              <w:footnoteReference w:id="2"/>
            </w:r>
            <w:r w:rsidR="7F5A4A44" w:rsidRPr="00E1478B">
              <w:rPr>
                <w:color w:val="000000" w:themeColor="text1"/>
                <w:sz w:val="22"/>
              </w:rPr>
              <w:t xml:space="preserve"> </w:t>
            </w:r>
            <w:r w:rsidR="00C057B6" w:rsidRPr="00E1478B">
              <w:rPr>
                <w:color w:val="000000" w:themeColor="text1"/>
                <w:sz w:val="22"/>
              </w:rPr>
              <w:t>40. panta 2. punkta a apakšpunktu</w:t>
            </w:r>
            <w:r w:rsidR="00CC1FC0" w:rsidRPr="00E1478B">
              <w:rPr>
                <w:color w:val="000000" w:themeColor="text1"/>
                <w:sz w:val="22"/>
              </w:rPr>
              <w:t xml:space="preserve">, Uzraudzības komiteja apstiprina </w:t>
            </w:r>
            <w:r w:rsidR="001F6F37" w:rsidRPr="00E1478B">
              <w:rPr>
                <w:color w:val="000000" w:themeColor="text1"/>
                <w:sz w:val="22"/>
              </w:rPr>
              <w:t>projektu iesniegumu vērtēšanas kritērijus un to grozījumus</w:t>
            </w:r>
            <w:r w:rsidR="000A29EA" w:rsidRPr="00E1478B">
              <w:rPr>
                <w:color w:val="000000" w:themeColor="text1"/>
                <w:sz w:val="22"/>
              </w:rPr>
              <w:t>.</w:t>
            </w:r>
            <w:r w:rsidR="00335CE5" w:rsidRPr="00E1478B">
              <w:rPr>
                <w:color w:val="000000" w:themeColor="text1"/>
                <w:sz w:val="22"/>
              </w:rPr>
              <w:t xml:space="preserve"> Kritēriju piemērošanas skaidrojumu</w:t>
            </w:r>
            <w:r w:rsidR="00255805" w:rsidRPr="00E1478B">
              <w:rPr>
                <w:color w:val="000000" w:themeColor="text1"/>
                <w:sz w:val="22"/>
              </w:rPr>
              <w:t>s var precizēt arī pēc kritēriju apstiprināšanas</w:t>
            </w:r>
            <w:r w:rsidR="004E6D4F" w:rsidRPr="00E1478B">
              <w:rPr>
                <w:color w:val="000000" w:themeColor="text1"/>
                <w:sz w:val="22"/>
              </w:rPr>
              <w:t>, saskaņojot projektu iesniegumu atlases nolikumu</w:t>
            </w:r>
            <w:r w:rsidR="00ED67DD" w:rsidRPr="00E1478B">
              <w:rPr>
                <w:color w:val="000000" w:themeColor="text1"/>
                <w:sz w:val="22"/>
              </w:rPr>
              <w:t>, iekļaujot tajā aktuālo</w:t>
            </w:r>
            <w:r w:rsidR="009A4625" w:rsidRPr="00E1478B">
              <w:rPr>
                <w:color w:val="000000" w:themeColor="text1"/>
                <w:sz w:val="22"/>
              </w:rPr>
              <w:t xml:space="preserve"> informāciju</w:t>
            </w:r>
            <w:r w:rsidR="00275D1E" w:rsidRPr="00E1478B">
              <w:rPr>
                <w:color w:val="000000" w:themeColor="text1"/>
                <w:sz w:val="22"/>
              </w:rPr>
              <w:t xml:space="preserve"> un </w:t>
            </w:r>
            <w:r w:rsidR="00717449" w:rsidRPr="00E1478B">
              <w:rPr>
                <w:color w:val="000000" w:themeColor="text1"/>
                <w:sz w:val="22"/>
              </w:rPr>
              <w:t>nosacījumus</w:t>
            </w:r>
            <w:r w:rsidR="00A316BC" w:rsidRPr="00E1478B">
              <w:rPr>
                <w:color w:val="000000" w:themeColor="text1"/>
                <w:sz w:val="22"/>
              </w:rPr>
              <w:t xml:space="preserve"> no</w:t>
            </w:r>
            <w:r w:rsidR="00717449" w:rsidRPr="00E1478B">
              <w:rPr>
                <w:color w:val="000000" w:themeColor="text1"/>
                <w:sz w:val="22"/>
              </w:rPr>
              <w:t xml:space="preserve"> Ministru kabine</w:t>
            </w:r>
            <w:r w:rsidR="00A316BC" w:rsidRPr="00E1478B">
              <w:rPr>
                <w:color w:val="000000" w:themeColor="text1"/>
                <w:sz w:val="22"/>
              </w:rPr>
              <w:t>ta noteikumiem</w:t>
            </w:r>
            <w:r w:rsidR="004E6D4F" w:rsidRPr="00E1478B">
              <w:rPr>
                <w:color w:val="000000" w:themeColor="text1"/>
                <w:sz w:val="22"/>
              </w:rPr>
              <w:t>.</w:t>
            </w:r>
          </w:p>
        </w:tc>
        <w:tc>
          <w:tcPr>
            <w:tcW w:w="2409" w:type="dxa"/>
          </w:tcPr>
          <w:p w14:paraId="43567EF6" w14:textId="52628A57" w:rsidR="00177D5B" w:rsidRPr="003A1F75" w:rsidRDefault="001419B8" w:rsidP="00177D5B">
            <w:pPr>
              <w:pStyle w:val="Standard"/>
              <w:jc w:val="both"/>
              <w:rPr>
                <w:sz w:val="22"/>
              </w:rPr>
            </w:pPr>
            <w:r>
              <w:rPr>
                <w:sz w:val="22"/>
              </w:rPr>
              <w:t>-</w:t>
            </w:r>
          </w:p>
        </w:tc>
      </w:tr>
      <w:tr w:rsidR="00F249D8" w:rsidRPr="003A1F75" w14:paraId="4BA87581" w14:textId="77777777" w:rsidTr="0095169B">
        <w:tc>
          <w:tcPr>
            <w:tcW w:w="553" w:type="dxa"/>
          </w:tcPr>
          <w:p w14:paraId="17A38B63" w14:textId="77777777" w:rsidR="00F249D8" w:rsidRPr="003A1F75" w:rsidRDefault="00F249D8" w:rsidP="00F249D8">
            <w:pPr>
              <w:pStyle w:val="Standard"/>
              <w:numPr>
                <w:ilvl w:val="0"/>
                <w:numId w:val="13"/>
              </w:numPr>
              <w:ind w:hanging="1049"/>
              <w:jc w:val="center"/>
              <w:rPr>
                <w:sz w:val="22"/>
              </w:rPr>
            </w:pPr>
          </w:p>
        </w:tc>
        <w:tc>
          <w:tcPr>
            <w:tcW w:w="2126" w:type="dxa"/>
          </w:tcPr>
          <w:p w14:paraId="78270CC9" w14:textId="36F5A417" w:rsidR="00F249D8" w:rsidRPr="003A1F75" w:rsidRDefault="00F249D8" w:rsidP="00F249D8">
            <w:pPr>
              <w:pStyle w:val="Standard"/>
              <w:jc w:val="both"/>
              <w:rPr>
                <w:b/>
                <w:bCs/>
                <w:sz w:val="22"/>
              </w:rPr>
            </w:pPr>
            <w:r w:rsidRPr="003A1F75">
              <w:rPr>
                <w:b/>
                <w:bCs/>
                <w:sz w:val="22"/>
              </w:rPr>
              <w:t>Kritērijs Nr. 2.1.</w:t>
            </w:r>
          </w:p>
        </w:tc>
        <w:tc>
          <w:tcPr>
            <w:tcW w:w="2703" w:type="dxa"/>
          </w:tcPr>
          <w:p w14:paraId="5779CD0E" w14:textId="77777777" w:rsidR="00F249D8" w:rsidRPr="003A1F75" w:rsidRDefault="00F249D8" w:rsidP="00F249D8">
            <w:pPr>
              <w:pStyle w:val="Standard"/>
              <w:jc w:val="both"/>
              <w:rPr>
                <w:b/>
                <w:bCs/>
                <w:sz w:val="22"/>
              </w:rPr>
            </w:pPr>
            <w:r w:rsidRPr="003A1F75">
              <w:rPr>
                <w:b/>
                <w:bCs/>
                <w:sz w:val="22"/>
              </w:rPr>
              <w:t>Finanšu ministrija (KAKD)</w:t>
            </w:r>
          </w:p>
          <w:p w14:paraId="3490DFC3" w14:textId="77777777" w:rsidR="00F249D8" w:rsidRPr="003A1F75" w:rsidRDefault="00F249D8" w:rsidP="00F249D8">
            <w:pPr>
              <w:pStyle w:val="Standard"/>
              <w:jc w:val="both"/>
              <w:rPr>
                <w:sz w:val="22"/>
              </w:rPr>
            </w:pPr>
          </w:p>
          <w:p w14:paraId="0D22613A" w14:textId="387D312C" w:rsidR="00F249D8" w:rsidRPr="003A1F75" w:rsidRDefault="00F249D8" w:rsidP="00F249D8">
            <w:pPr>
              <w:pStyle w:val="Standard"/>
              <w:jc w:val="both"/>
              <w:rPr>
                <w:sz w:val="22"/>
              </w:rPr>
            </w:pPr>
            <w:r w:rsidRPr="003A1F75">
              <w:rPr>
                <w:sz w:val="22"/>
              </w:rPr>
              <w:t>Lūdzam papildināt 2.1.kritērija skaidrojumu arī ar pārējiem nosacījumiem, kas izriet no Komisijas regulas Nr. 651/2014 47.panta atbilstoši MK noteikumos noteiktajam, kā arī, ievērojot FM atzinumā izteiktos iebildums par MK noteikumu projektu (23-TA-2123), nosacījumus, kas izriet Komisijas regulas Nr. 651/2014 47.panta 4., 5., 6. un 10. punkta, un kurus nepieciešams vērtēt attiecībā uz projekta iesniegumu.</w:t>
            </w:r>
          </w:p>
        </w:tc>
        <w:tc>
          <w:tcPr>
            <w:tcW w:w="6946" w:type="dxa"/>
          </w:tcPr>
          <w:p w14:paraId="07353DFE" w14:textId="77777777" w:rsidR="00F249D8" w:rsidRPr="00967981" w:rsidRDefault="00F249D8" w:rsidP="00F249D8">
            <w:pPr>
              <w:jc w:val="both"/>
              <w:rPr>
                <w:b/>
                <w:bCs/>
                <w:sz w:val="22"/>
              </w:rPr>
            </w:pPr>
            <w:r w:rsidRPr="00967981">
              <w:rPr>
                <w:b/>
                <w:bCs/>
                <w:sz w:val="22"/>
              </w:rPr>
              <w:t>Nav ņemts vērā</w:t>
            </w:r>
          </w:p>
          <w:p w14:paraId="2E7633B8" w14:textId="30A163FE" w:rsidR="00F249D8" w:rsidRDefault="00F249D8" w:rsidP="005B3835">
            <w:pPr>
              <w:jc w:val="both"/>
              <w:rPr>
                <w:sz w:val="22"/>
              </w:rPr>
            </w:pPr>
            <w:r w:rsidRPr="00967981">
              <w:rPr>
                <w:rFonts w:eastAsia="Calibri" w:cstheme="minorBidi"/>
                <w:sz w:val="22"/>
              </w:rPr>
              <w:t>Komisijas regulas Nr.</w:t>
            </w:r>
            <w:r w:rsidR="001867FC" w:rsidRPr="00967981">
              <w:rPr>
                <w:rFonts w:eastAsia="Calibri" w:cstheme="minorBidi"/>
                <w:sz w:val="22"/>
              </w:rPr>
              <w:t> </w:t>
            </w:r>
            <w:r w:rsidRPr="00967981">
              <w:rPr>
                <w:rFonts w:eastAsia="Calibri" w:cstheme="minorBidi"/>
                <w:sz w:val="22"/>
              </w:rPr>
              <w:t>651/2014 47. pants aptver plašāku darbību tvērumu kā tikai atkritumu pārstrāde. Regulējums piemērojams plaša spektra darbībām</w:t>
            </w:r>
            <w:r w:rsidR="006D3185" w:rsidRPr="00967981">
              <w:rPr>
                <w:rFonts w:eastAsia="Calibri" w:cstheme="minorBidi"/>
                <w:sz w:val="22"/>
              </w:rPr>
              <w:t xml:space="preserve"> (tās norādītas 47. panta 2. punkta a</w:t>
            </w:r>
            <w:r w:rsidR="00967981" w:rsidRPr="00967981">
              <w:rPr>
                <w:rFonts w:eastAsia="Calibri" w:cstheme="minorBidi"/>
                <w:sz w:val="22"/>
              </w:rPr>
              <w:t> </w:t>
            </w:r>
            <w:r w:rsidR="006D3185" w:rsidRPr="00967981">
              <w:rPr>
                <w:rFonts w:eastAsia="Calibri" w:cstheme="minorBidi"/>
                <w:sz w:val="22"/>
              </w:rPr>
              <w:t>-</w:t>
            </w:r>
            <w:r w:rsidR="00967981" w:rsidRPr="00967981">
              <w:rPr>
                <w:rFonts w:eastAsia="Calibri" w:cstheme="minorBidi"/>
                <w:sz w:val="22"/>
              </w:rPr>
              <w:t xml:space="preserve"> </w:t>
            </w:r>
            <w:r w:rsidR="006D3185" w:rsidRPr="00967981">
              <w:rPr>
                <w:rFonts w:eastAsia="Calibri" w:cstheme="minorBidi"/>
                <w:sz w:val="22"/>
              </w:rPr>
              <w:t>d apakšpunktos)</w:t>
            </w:r>
            <w:r w:rsidRPr="00967981">
              <w:rPr>
                <w:rFonts w:eastAsia="Calibri" w:cstheme="minorBidi"/>
                <w:sz w:val="22"/>
              </w:rPr>
              <w:t xml:space="preserve"> – aprites ekonomikas principu īstenošanai jebkurā saimniecības nozarē (ne tikai atkritumu apsaimniekošanas), atkritumu dalītai vākšanai, atkritumu šķirošanai</w:t>
            </w:r>
            <w:r w:rsidR="001867FC" w:rsidRPr="00967981">
              <w:rPr>
                <w:rFonts w:eastAsia="Calibri" w:cstheme="minorBidi"/>
                <w:sz w:val="22"/>
              </w:rPr>
              <w:t xml:space="preserve"> u.c.</w:t>
            </w:r>
            <w:r w:rsidRPr="00967981">
              <w:rPr>
                <w:rFonts w:eastAsia="Calibri" w:cstheme="minorBidi"/>
                <w:sz w:val="22"/>
              </w:rPr>
              <w:t xml:space="preserve"> Līdz ar to ne visas Komisijas regulas Nr. 651/2014 47. panta prasības var tikt piemērotas specifiski tikai vienas no regulējuma aptverošās darbības jeb atkritumu pārstrādes gadījumā. </w:t>
            </w:r>
            <w:r w:rsidR="005B3835" w:rsidRPr="00967981">
              <w:rPr>
                <w:sz w:val="22"/>
              </w:rPr>
              <w:t xml:space="preserve">Piemēram, </w:t>
            </w:r>
            <w:r w:rsidRPr="00967981">
              <w:rPr>
                <w:sz w:val="22"/>
              </w:rPr>
              <w:t>resursu lielākas izmantošanas ierobežošanas pienākums</w:t>
            </w:r>
            <w:r w:rsidR="006D278D" w:rsidRPr="00967981">
              <w:rPr>
                <w:sz w:val="22"/>
              </w:rPr>
              <w:t xml:space="preserve"> (47. panta 5. punkts)</w:t>
            </w:r>
            <w:r w:rsidRPr="00967981">
              <w:rPr>
                <w:sz w:val="22"/>
              </w:rPr>
              <w:t xml:space="preserve"> jēgpilni var tikt piemērots tikai tādām darbībām, kur to patiešām ir iespējams izmērīt, un tās norādītas 47. panta 2. punkta a apakšpunktā. Tās ir darbības, kur tiek atbalstīta nevis atkritumu pārstrāde, bet gan </w:t>
            </w:r>
            <w:proofErr w:type="spellStart"/>
            <w:r w:rsidRPr="00967981">
              <w:rPr>
                <w:sz w:val="22"/>
              </w:rPr>
              <w:t>resursefektivitāte</w:t>
            </w:r>
            <w:proofErr w:type="spellEnd"/>
            <w:r w:rsidRPr="00967981">
              <w:rPr>
                <w:sz w:val="22"/>
              </w:rPr>
              <w:t>. Kā skaidrots 47. panta 2. punkta a apakšpunkta i punktā, resursu samazinājumu nosaka, izmērot vai aplēšot patēriņu pirms un pēc atbalsta pasākuma īstenošanas. Līdz ar to gadījumos, ja tiek veidota jauna atkritumu pārstrādes iekārta</w:t>
            </w:r>
            <w:r w:rsidR="0064443B" w:rsidRPr="00967981">
              <w:rPr>
                <w:sz w:val="22"/>
              </w:rPr>
              <w:t xml:space="preserve"> (atbilstoši 47. panta 2. punkta </w:t>
            </w:r>
            <w:r w:rsidR="008D0D7C" w:rsidRPr="00967981">
              <w:rPr>
                <w:sz w:val="22"/>
              </w:rPr>
              <w:t>b apakšpunkt</w:t>
            </w:r>
            <w:r w:rsidR="009E0793" w:rsidRPr="00967981">
              <w:rPr>
                <w:sz w:val="22"/>
              </w:rPr>
              <w:t>a daļā par trešo personu radītu atkritumu pārstrādi (</w:t>
            </w:r>
            <w:proofErr w:type="spellStart"/>
            <w:r w:rsidR="009E0793" w:rsidRPr="00967981">
              <w:rPr>
                <w:sz w:val="22"/>
              </w:rPr>
              <w:t>reciklēšanu</w:t>
            </w:r>
            <w:proofErr w:type="spellEnd"/>
            <w:r w:rsidR="009E0793" w:rsidRPr="00967981">
              <w:rPr>
                <w:sz w:val="22"/>
              </w:rPr>
              <w:t>))</w:t>
            </w:r>
            <w:r w:rsidR="008D0D7C" w:rsidRPr="00967981">
              <w:rPr>
                <w:sz w:val="22"/>
              </w:rPr>
              <w:t xml:space="preserve"> norādītajam)</w:t>
            </w:r>
            <w:r w:rsidRPr="00967981">
              <w:rPr>
                <w:sz w:val="22"/>
              </w:rPr>
              <w:t xml:space="preserve">, resursu patēriņš pirms atbalsta pasākuma īstenošanas nerodas (enerģija netiek uzskatīta par resursu veidu). Tādējādi jau pats nosacījums par jaunas iekārtas izveidi nozīmē, ka resursu patēriņa līdz tam brīdim nav. </w:t>
            </w:r>
            <w:r w:rsidR="0027753A" w:rsidRPr="00967981">
              <w:rPr>
                <w:sz w:val="22"/>
              </w:rPr>
              <w:t>Būtībā</w:t>
            </w:r>
            <w:r w:rsidR="001D07F0" w:rsidRPr="00967981">
              <w:rPr>
                <w:sz w:val="22"/>
              </w:rPr>
              <w:t xml:space="preserve"> </w:t>
            </w:r>
            <w:r w:rsidR="00806D9A" w:rsidRPr="00967981">
              <w:rPr>
                <w:sz w:val="22"/>
              </w:rPr>
              <w:t xml:space="preserve">resursu lielāka patēriņa ierobežojums </w:t>
            </w:r>
            <w:r w:rsidR="001D07F0" w:rsidRPr="00967981">
              <w:rPr>
                <w:sz w:val="22"/>
              </w:rPr>
              <w:t xml:space="preserve"> izslēgtu</w:t>
            </w:r>
            <w:r w:rsidR="0027753A" w:rsidRPr="00967981">
              <w:rPr>
                <w:sz w:val="22"/>
              </w:rPr>
              <w:t xml:space="preserve"> </w:t>
            </w:r>
            <w:r w:rsidR="001D07F0" w:rsidRPr="00967981">
              <w:rPr>
                <w:sz w:val="22"/>
              </w:rPr>
              <w:t xml:space="preserve">iespēju atbalstīt jaunu iekārtu izveidi, jo jebkura jauna darbība </w:t>
            </w:r>
            <w:r w:rsidR="0087317D" w:rsidRPr="00967981">
              <w:rPr>
                <w:sz w:val="22"/>
              </w:rPr>
              <w:t>pieprasīs vairāk resursu nekā tad, ja darbību neveic.</w:t>
            </w:r>
            <w:r w:rsidR="00863D06" w:rsidRPr="00967981">
              <w:rPr>
                <w:sz w:val="22"/>
              </w:rPr>
              <w:t xml:space="preserve"> VARAM ir analizējusi 47. pantā iekļautos nosacījumus un piemērojusi tos tiktāl, cik to var attiecināt tieši uz atkritumu pārstrādi.</w:t>
            </w:r>
            <w:r w:rsidR="00A234C4" w:rsidRPr="00967981">
              <w:rPr>
                <w:sz w:val="22"/>
              </w:rPr>
              <w:t xml:space="preserve"> </w:t>
            </w:r>
          </w:p>
          <w:p w14:paraId="1091E257" w14:textId="77777777" w:rsidR="001C1428" w:rsidRDefault="001C1428" w:rsidP="005B3835">
            <w:pPr>
              <w:jc w:val="both"/>
              <w:rPr>
                <w:sz w:val="22"/>
              </w:rPr>
            </w:pPr>
          </w:p>
          <w:p w14:paraId="191E5AD7" w14:textId="7E1D8A7E" w:rsidR="001C1428" w:rsidRDefault="001C1428" w:rsidP="005B3835">
            <w:pPr>
              <w:jc w:val="both"/>
              <w:rPr>
                <w:sz w:val="22"/>
              </w:rPr>
            </w:pPr>
            <w:r w:rsidRPr="003A1F75">
              <w:rPr>
                <w:sz w:val="22"/>
              </w:rPr>
              <w:t>47.panta 4.</w:t>
            </w:r>
            <w:r>
              <w:rPr>
                <w:sz w:val="22"/>
              </w:rPr>
              <w:t xml:space="preserve"> punkt</w:t>
            </w:r>
            <w:r w:rsidR="004B777A">
              <w:rPr>
                <w:sz w:val="22"/>
              </w:rPr>
              <w:t>s var tikt</w:t>
            </w:r>
            <w:r>
              <w:rPr>
                <w:sz w:val="22"/>
              </w:rPr>
              <w:t xml:space="preserve"> piemēro</w:t>
            </w:r>
            <w:r w:rsidR="004B777A">
              <w:rPr>
                <w:sz w:val="22"/>
              </w:rPr>
              <w:t>ts</w:t>
            </w:r>
            <w:r>
              <w:rPr>
                <w:sz w:val="22"/>
              </w:rPr>
              <w:t xml:space="preserve"> tikai </w:t>
            </w:r>
            <w:r w:rsidR="00211032">
              <w:rPr>
                <w:sz w:val="22"/>
              </w:rPr>
              <w:t xml:space="preserve">tādām investīciju programmām, kur tiek sniegts atbalsts paša uzņēmuma darbības rezultātā radīto atkritumu apsaimniekošanai. Piemēram, tas būtu gadījums, ja </w:t>
            </w:r>
            <w:r w:rsidR="002B4936">
              <w:rPr>
                <w:sz w:val="22"/>
              </w:rPr>
              <w:t>autoservisā rastos</w:t>
            </w:r>
            <w:r w:rsidR="002C6E04">
              <w:rPr>
                <w:sz w:val="22"/>
              </w:rPr>
              <w:t xml:space="preserve"> </w:t>
            </w:r>
            <w:r w:rsidR="00217C95">
              <w:rPr>
                <w:sz w:val="22"/>
              </w:rPr>
              <w:t xml:space="preserve">naftas produktu </w:t>
            </w:r>
            <w:r w:rsidR="002C6E04">
              <w:rPr>
                <w:sz w:val="22"/>
              </w:rPr>
              <w:t>atkritumi</w:t>
            </w:r>
            <w:r w:rsidR="002B4936">
              <w:rPr>
                <w:sz w:val="22"/>
              </w:rPr>
              <w:t>, ka</w:t>
            </w:r>
            <w:r w:rsidR="00013C7D">
              <w:rPr>
                <w:sz w:val="22"/>
              </w:rPr>
              <w:t>m obligāti pirms nodošanas pārstrādei būtu jāveic kāda no priekšapstrādes darbībām</w:t>
            </w:r>
            <w:r w:rsidR="00217C95">
              <w:rPr>
                <w:sz w:val="22"/>
              </w:rPr>
              <w:t xml:space="preserve">. Attiecīgi šāda veida izmaksas nevar tikt segtas gadījumā, ja </w:t>
            </w:r>
            <w:r w:rsidR="006F094D">
              <w:rPr>
                <w:sz w:val="22"/>
              </w:rPr>
              <w:t xml:space="preserve">ir atbilstoša investīciju programma. Tomēr attiecībā uz 2.2.2.1. pasākuma projektu iesniegumu atlases pirmo kārtu tas neattiecas, jo </w:t>
            </w:r>
            <w:r w:rsidR="00F50203">
              <w:rPr>
                <w:sz w:val="22"/>
              </w:rPr>
              <w:t xml:space="preserve">atkritumu pārstrādes iekārtu gadījumā tiek pārstrādāti </w:t>
            </w:r>
            <w:r w:rsidR="00FB29C4">
              <w:rPr>
                <w:sz w:val="22"/>
              </w:rPr>
              <w:t>trešo personu radīti atkritumi</w:t>
            </w:r>
            <w:r w:rsidR="002703D2">
              <w:rPr>
                <w:sz w:val="22"/>
              </w:rPr>
              <w:t xml:space="preserve"> un nevis paša komersanta </w:t>
            </w:r>
            <w:r w:rsidR="005C5842">
              <w:rPr>
                <w:sz w:val="22"/>
              </w:rPr>
              <w:t>radīti atkritumi</w:t>
            </w:r>
            <w:r w:rsidR="00FB29C4">
              <w:rPr>
                <w:sz w:val="22"/>
              </w:rPr>
              <w:t>.</w:t>
            </w:r>
          </w:p>
          <w:p w14:paraId="78636078" w14:textId="77777777" w:rsidR="005C5842" w:rsidRDefault="005C5842" w:rsidP="005B3835">
            <w:pPr>
              <w:jc w:val="both"/>
              <w:rPr>
                <w:sz w:val="22"/>
              </w:rPr>
            </w:pPr>
          </w:p>
          <w:p w14:paraId="0F05BBEE" w14:textId="17B8E74B" w:rsidR="005C5842" w:rsidRDefault="000F1DBF" w:rsidP="005B3835">
            <w:pPr>
              <w:jc w:val="both"/>
              <w:rPr>
                <w:sz w:val="22"/>
              </w:rPr>
            </w:pPr>
            <w:r>
              <w:rPr>
                <w:sz w:val="22"/>
              </w:rPr>
              <w:t xml:space="preserve">47. panta 6. punkts </w:t>
            </w:r>
            <w:r w:rsidR="004364FD">
              <w:rPr>
                <w:sz w:val="22"/>
              </w:rPr>
              <w:t xml:space="preserve">paredz </w:t>
            </w:r>
            <w:r w:rsidR="002B72A4">
              <w:rPr>
                <w:sz w:val="22"/>
              </w:rPr>
              <w:t xml:space="preserve">gadījumus, kad </w:t>
            </w:r>
            <w:r w:rsidR="00E16A55">
              <w:rPr>
                <w:sz w:val="22"/>
              </w:rPr>
              <w:t>ieguldījumi</w:t>
            </w:r>
            <w:r w:rsidR="006F1B07">
              <w:rPr>
                <w:sz w:val="22"/>
              </w:rPr>
              <w:t>, kas saistīti ar tehnoloģijām</w:t>
            </w:r>
            <w:r w:rsidR="006F6C47">
              <w:rPr>
                <w:sz w:val="22"/>
              </w:rPr>
              <w:t xml:space="preserve">, kas veido jau rentablu iedibinātu </w:t>
            </w:r>
            <w:proofErr w:type="spellStart"/>
            <w:r w:rsidR="006F6C47">
              <w:rPr>
                <w:sz w:val="22"/>
              </w:rPr>
              <w:t>komercpraksi</w:t>
            </w:r>
            <w:proofErr w:type="spellEnd"/>
            <w:r w:rsidR="006F6C47">
              <w:rPr>
                <w:sz w:val="22"/>
              </w:rPr>
              <w:t xml:space="preserve"> Eiropas Savienības līmenī, nav </w:t>
            </w:r>
            <w:r w:rsidR="00525596">
              <w:rPr>
                <w:sz w:val="22"/>
              </w:rPr>
              <w:t xml:space="preserve">atbrīvojami </w:t>
            </w:r>
            <w:r w:rsidR="004B6F80">
              <w:rPr>
                <w:sz w:val="22"/>
              </w:rPr>
              <w:t xml:space="preserve">no paziņošanas prasības. Skaidrojam, ka </w:t>
            </w:r>
            <w:r w:rsidR="00DD45E5">
              <w:rPr>
                <w:sz w:val="22"/>
              </w:rPr>
              <w:t>atkritumu pārstrādes iekārtu gadījumā katrs iekārtu veids tiek individuāli pielāgots pasūtītāja vajadzībām, kas ņem vērā pārstrādājamo atkritumu veidu, piemaisījumu struktūru</w:t>
            </w:r>
            <w:r w:rsidR="00566E58">
              <w:rPr>
                <w:sz w:val="22"/>
              </w:rPr>
              <w:t>, pārstrādes gala produkta</w:t>
            </w:r>
            <w:r w:rsidR="004C638C">
              <w:rPr>
                <w:sz w:val="22"/>
              </w:rPr>
              <w:t xml:space="preserve"> prasības</w:t>
            </w:r>
            <w:r w:rsidR="004171B2">
              <w:rPr>
                <w:sz w:val="22"/>
              </w:rPr>
              <w:t xml:space="preserve"> u.c. </w:t>
            </w:r>
            <w:r w:rsidR="00E926DF">
              <w:rPr>
                <w:sz w:val="22"/>
              </w:rPr>
              <w:t xml:space="preserve">Līdz ar to nepastāv atvērta veida datu reģistrs, kas </w:t>
            </w:r>
            <w:r w:rsidR="00705A2D">
              <w:rPr>
                <w:sz w:val="22"/>
              </w:rPr>
              <w:t>ļau</w:t>
            </w:r>
            <w:r w:rsidR="009F5748">
              <w:rPr>
                <w:sz w:val="22"/>
              </w:rPr>
              <w:t>tu</w:t>
            </w:r>
            <w:r w:rsidR="00705A2D">
              <w:rPr>
                <w:sz w:val="22"/>
              </w:rPr>
              <w:t xml:space="preserve"> pārbaudīt tehnoloģiju </w:t>
            </w:r>
            <w:r w:rsidR="002F1F83">
              <w:rPr>
                <w:sz w:val="22"/>
              </w:rPr>
              <w:t xml:space="preserve">apkopojumu, jo </w:t>
            </w:r>
            <w:r w:rsidR="002F3B3C">
              <w:rPr>
                <w:sz w:val="22"/>
              </w:rPr>
              <w:t>iekārtas ir savstarpēji nesalīdzināmas</w:t>
            </w:r>
            <w:r w:rsidR="00D8054B">
              <w:rPr>
                <w:sz w:val="22"/>
              </w:rPr>
              <w:t>.</w:t>
            </w:r>
            <w:r w:rsidR="00753BD9">
              <w:rPr>
                <w:sz w:val="22"/>
              </w:rPr>
              <w:t xml:space="preserve"> </w:t>
            </w:r>
            <w:r w:rsidR="00B01F47">
              <w:rPr>
                <w:sz w:val="22"/>
              </w:rPr>
              <w:t>47. panta 6. punkt</w:t>
            </w:r>
            <w:r w:rsidR="008D1E41">
              <w:rPr>
                <w:sz w:val="22"/>
              </w:rPr>
              <w:t xml:space="preserve">ā nav </w:t>
            </w:r>
            <w:r w:rsidR="006A5769">
              <w:rPr>
                <w:sz w:val="22"/>
              </w:rPr>
              <w:t xml:space="preserve">arī </w:t>
            </w:r>
            <w:r w:rsidR="008D1E41">
              <w:rPr>
                <w:sz w:val="22"/>
              </w:rPr>
              <w:t>norādīts, kād</w:t>
            </w:r>
            <w:r w:rsidR="006A5769">
              <w:rPr>
                <w:sz w:val="22"/>
              </w:rPr>
              <w:t>a veida saistība ir jāpārbauda.</w:t>
            </w:r>
            <w:r w:rsidR="007F057F">
              <w:rPr>
                <w:sz w:val="22"/>
              </w:rPr>
              <w:t xml:space="preserve"> </w:t>
            </w:r>
            <w:r w:rsidR="00D8054B">
              <w:rPr>
                <w:sz w:val="22"/>
              </w:rPr>
              <w:t xml:space="preserve"> Tāpat nepastāv regulējums, kas ļautu pēc noteiktām pazīmēm identificēt </w:t>
            </w:r>
            <w:r w:rsidR="00432DC6">
              <w:rPr>
                <w:sz w:val="22"/>
              </w:rPr>
              <w:t xml:space="preserve">rentablu </w:t>
            </w:r>
            <w:proofErr w:type="spellStart"/>
            <w:r w:rsidR="00432DC6">
              <w:rPr>
                <w:sz w:val="22"/>
              </w:rPr>
              <w:t>komercpraksi</w:t>
            </w:r>
            <w:proofErr w:type="spellEnd"/>
            <w:r w:rsidR="00AB6C85">
              <w:rPr>
                <w:sz w:val="22"/>
              </w:rPr>
              <w:t xml:space="preserve"> Savienības līmenī. Tādējādi </w:t>
            </w:r>
            <w:r w:rsidR="004E2113">
              <w:rPr>
                <w:sz w:val="22"/>
              </w:rPr>
              <w:t>norma netiek pārņemta, jo nav iespējams to piemērot</w:t>
            </w:r>
            <w:r w:rsidR="007F057F">
              <w:rPr>
                <w:sz w:val="22"/>
              </w:rPr>
              <w:t xml:space="preserve"> un pārbaudīt</w:t>
            </w:r>
            <w:r w:rsidR="000428C9">
              <w:rPr>
                <w:sz w:val="22"/>
              </w:rPr>
              <w:t>.</w:t>
            </w:r>
            <w:r w:rsidR="00432DC6">
              <w:rPr>
                <w:sz w:val="22"/>
              </w:rPr>
              <w:t xml:space="preserve"> </w:t>
            </w:r>
          </w:p>
          <w:p w14:paraId="4B1B9BDA" w14:textId="77777777" w:rsidR="007F057F" w:rsidRDefault="007F057F" w:rsidP="005B3835">
            <w:pPr>
              <w:jc w:val="both"/>
              <w:rPr>
                <w:sz w:val="22"/>
              </w:rPr>
            </w:pPr>
          </w:p>
          <w:p w14:paraId="61BAB8C2" w14:textId="5E1914A1" w:rsidR="00BD1E18" w:rsidRDefault="009648C8" w:rsidP="00BD1E18">
            <w:pPr>
              <w:jc w:val="both"/>
              <w:rPr>
                <w:sz w:val="22"/>
              </w:rPr>
            </w:pPr>
            <w:r>
              <w:rPr>
                <w:sz w:val="22"/>
              </w:rPr>
              <w:t>Attiecībā uz 47. panta 10. punktu skaidrojam, ka</w:t>
            </w:r>
            <w:r w:rsidR="00BA352A">
              <w:rPr>
                <w:sz w:val="22"/>
              </w:rPr>
              <w:t xml:space="preserve"> ar </w:t>
            </w:r>
            <w:r>
              <w:rPr>
                <w:sz w:val="22"/>
              </w:rPr>
              <w:t xml:space="preserve"> </w:t>
            </w:r>
            <w:r w:rsidR="00415931">
              <w:rPr>
                <w:sz w:val="22"/>
              </w:rPr>
              <w:t>Savienības standart</w:t>
            </w:r>
            <w:r w:rsidR="00BA352A">
              <w:rPr>
                <w:sz w:val="22"/>
              </w:rPr>
              <w:t>u saprot pienākumu izmantot labākos pieejamos tehniskos paņēmienus</w:t>
            </w:r>
            <w:r w:rsidR="00BD1E18">
              <w:rPr>
                <w:sz w:val="22"/>
              </w:rPr>
              <w:t xml:space="preserve"> (saskaņā ar</w:t>
            </w:r>
          </w:p>
          <w:p w14:paraId="43BDAF89" w14:textId="15A4F212" w:rsidR="003D23E8" w:rsidRDefault="00BD1E18" w:rsidP="00BD1E18">
            <w:pPr>
              <w:jc w:val="both"/>
              <w:rPr>
                <w:sz w:val="22"/>
              </w:rPr>
            </w:pPr>
            <w:r w:rsidRPr="003A1F75">
              <w:rPr>
                <w:sz w:val="22"/>
              </w:rPr>
              <w:t>Komisijas regulas Nr. 651/2014</w:t>
            </w:r>
            <w:r>
              <w:rPr>
                <w:sz w:val="22"/>
              </w:rPr>
              <w:t xml:space="preserve"> 2. panta 102. apakšpunkta b punktā norādīto). </w:t>
            </w:r>
            <w:r w:rsidR="00563CC3">
              <w:rPr>
                <w:sz w:val="22"/>
              </w:rPr>
              <w:t xml:space="preserve">Pienākums šos paņēmienus piemērot ir A kategorijas piesārņojošas darbības veicējiem, savukārt citu kategoriju piesārņojošu darbību veicējiem to piemērošana ir brīvprātīga. </w:t>
            </w:r>
            <w:r w:rsidR="005F3D1D">
              <w:rPr>
                <w:sz w:val="22"/>
              </w:rPr>
              <w:t xml:space="preserve">Tomēr </w:t>
            </w:r>
            <w:r>
              <w:rPr>
                <w:sz w:val="22"/>
              </w:rPr>
              <w:t xml:space="preserve"> </w:t>
            </w:r>
            <w:r w:rsidR="005F3D1D">
              <w:rPr>
                <w:sz w:val="22"/>
              </w:rPr>
              <w:t xml:space="preserve">47. panta 10. punktā norādīts, ka </w:t>
            </w:r>
            <w:r w:rsidR="00BE6890">
              <w:rPr>
                <w:sz w:val="22"/>
              </w:rPr>
              <w:t xml:space="preserve">ieguldījumus </w:t>
            </w:r>
            <w:r w:rsidR="005F3D1D">
              <w:rPr>
                <w:sz w:val="22"/>
              </w:rPr>
              <w:t xml:space="preserve">nepiešķir </w:t>
            </w:r>
            <w:r w:rsidR="00BE6890">
              <w:rPr>
                <w:sz w:val="22"/>
              </w:rPr>
              <w:t xml:space="preserve">gadījumos, kad ir </w:t>
            </w:r>
            <w:r w:rsidR="00BE6890" w:rsidRPr="00A1537E">
              <w:rPr>
                <w:sz w:val="22"/>
                <w:u w:val="single"/>
              </w:rPr>
              <w:t>jāpanāk atbilstība</w:t>
            </w:r>
            <w:r w:rsidR="00BE6890">
              <w:rPr>
                <w:sz w:val="22"/>
              </w:rPr>
              <w:t xml:space="preserve"> šim Standartam jeb labākajiem pieejamiem tehniskajiem paņēmieniem. </w:t>
            </w:r>
            <w:r w:rsidR="00A1537E">
              <w:rPr>
                <w:sz w:val="22"/>
              </w:rPr>
              <w:t xml:space="preserve">Līdz ar to ir secināms, ka norma attiecināma uz esošām iekārtām, kas to </w:t>
            </w:r>
            <w:r w:rsidR="00B402CA">
              <w:rPr>
                <w:sz w:val="22"/>
              </w:rPr>
              <w:t>šobrīd nenodrošina</w:t>
            </w:r>
            <w:r w:rsidR="003D23E8">
              <w:rPr>
                <w:sz w:val="22"/>
              </w:rPr>
              <w:t>.</w:t>
            </w:r>
            <w:r w:rsidR="00383BC6">
              <w:rPr>
                <w:sz w:val="22"/>
              </w:rPr>
              <w:t xml:space="preserve"> </w:t>
            </w:r>
            <w:r w:rsidR="009364CE">
              <w:rPr>
                <w:sz w:val="22"/>
              </w:rPr>
              <w:t xml:space="preserve">Tā kā atbalsts 2.2.2.1. pasākuma projektu iesniegumu atlases pirmajā kārtā paredzēts jaunu iekārtu izveidei, </w:t>
            </w:r>
            <w:r w:rsidR="003C5F54">
              <w:rPr>
                <w:sz w:val="22"/>
              </w:rPr>
              <w:t>47. panta 10. punkta regulējums nav piemērojams, jo tiks veidotas tikai jaunas pārstrādes iekārtas</w:t>
            </w:r>
            <w:r w:rsidR="00510CF1">
              <w:rPr>
                <w:sz w:val="22"/>
              </w:rPr>
              <w:t xml:space="preserve">, ievērojot kompetento iestāžu tehniskos noteikumus, kuru izpilde nodrošinās iekārtas darbību atbilstoši pieļaujamajiem piesārņojuma līmeņiem. </w:t>
            </w:r>
          </w:p>
          <w:p w14:paraId="33451371" w14:textId="77777777" w:rsidR="003D23E8" w:rsidRDefault="003D23E8" w:rsidP="00BD1E18">
            <w:pPr>
              <w:jc w:val="both"/>
              <w:rPr>
                <w:sz w:val="22"/>
              </w:rPr>
            </w:pPr>
          </w:p>
          <w:p w14:paraId="527EC727" w14:textId="77777777" w:rsidR="001C1428" w:rsidRDefault="002B2727" w:rsidP="005B3835">
            <w:pPr>
              <w:jc w:val="both"/>
              <w:rPr>
                <w:sz w:val="22"/>
              </w:rPr>
            </w:pPr>
            <w:r>
              <w:rPr>
                <w:sz w:val="22"/>
              </w:rPr>
              <w:t xml:space="preserve">Par Savienības standartu neuzskata </w:t>
            </w:r>
            <w:proofErr w:type="spellStart"/>
            <w:r>
              <w:rPr>
                <w:sz w:val="22"/>
              </w:rPr>
              <w:t>mērķrādītājus</w:t>
            </w:r>
            <w:proofErr w:type="spellEnd"/>
            <w:r>
              <w:rPr>
                <w:sz w:val="22"/>
              </w:rPr>
              <w:t>, kas noteikti Savienības līmenī u</w:t>
            </w:r>
            <w:r w:rsidR="00015EC3">
              <w:rPr>
                <w:sz w:val="22"/>
              </w:rPr>
              <w:t>n ir saistoši dalībvalsts līmenī. Par tādu ir uzskatāms</w:t>
            </w:r>
            <w:r w:rsidR="00EC7C30">
              <w:rPr>
                <w:sz w:val="22"/>
              </w:rPr>
              <w:t>, piemēram,</w:t>
            </w:r>
            <w:r w:rsidR="00015EC3">
              <w:rPr>
                <w:sz w:val="22"/>
              </w:rPr>
              <w:t xml:space="preserve"> pienākums </w:t>
            </w:r>
            <w:r w:rsidR="00C4677F">
              <w:rPr>
                <w:sz w:val="22"/>
              </w:rPr>
              <w:t xml:space="preserve">nodrošināt konkrēta procentuālā apmēra </w:t>
            </w:r>
            <w:r w:rsidR="00EC7C30">
              <w:rPr>
                <w:sz w:val="22"/>
              </w:rPr>
              <w:t>atkritumu pārstrādi nacionālā līmenī.</w:t>
            </w:r>
          </w:p>
          <w:p w14:paraId="0FE6D9D3" w14:textId="77777777" w:rsidR="00BC77F1" w:rsidRDefault="00BC77F1" w:rsidP="005B3835">
            <w:pPr>
              <w:jc w:val="both"/>
              <w:rPr>
                <w:sz w:val="22"/>
              </w:rPr>
            </w:pPr>
          </w:p>
          <w:p w14:paraId="7AF89840" w14:textId="20CB01DE" w:rsidR="00BC77F1" w:rsidRPr="00BC77F1" w:rsidRDefault="00BC77F1" w:rsidP="001152FA">
            <w:pPr>
              <w:jc w:val="both"/>
              <w:rPr>
                <w:sz w:val="22"/>
              </w:rPr>
            </w:pPr>
            <w:r>
              <w:rPr>
                <w:sz w:val="22"/>
              </w:rPr>
              <w:t xml:space="preserve">Lūdzam ņemt vērā, ka </w:t>
            </w:r>
            <w:r w:rsidR="0050220E">
              <w:rPr>
                <w:sz w:val="22"/>
              </w:rPr>
              <w:t>projektu iesniegumu vērtēšanas kritēriju un Ministru kabineta noteikumu projekta saskaņošanas procesi ir nodalāmi</w:t>
            </w:r>
            <w:r w:rsidR="0093193D">
              <w:rPr>
                <w:sz w:val="22"/>
              </w:rPr>
              <w:t>, kā arī to, ka Uzraudzības komitejā tiek apstiprināti tieši projektu iesniegumu vērtēšanas kritēriji un nevis to piemērošanas metodika. Līdz ar to gadījumā, ja no Eiropas Komisijas tiks saņemt</w:t>
            </w:r>
            <w:r w:rsidR="00CC199F">
              <w:rPr>
                <w:sz w:val="22"/>
              </w:rPr>
              <w:t>s normu</w:t>
            </w:r>
            <w:r w:rsidR="0093193D">
              <w:rPr>
                <w:sz w:val="22"/>
              </w:rPr>
              <w:t xml:space="preserve"> </w:t>
            </w:r>
            <w:r w:rsidR="00CC199F">
              <w:rPr>
                <w:sz w:val="22"/>
              </w:rPr>
              <w:t>skaidrojums</w:t>
            </w:r>
            <w:r w:rsidR="00307BBC">
              <w:rPr>
                <w:sz w:val="22"/>
              </w:rPr>
              <w:t>, kas ir pretrunā ar šobrīd gan kritēriju piemērošanas metodikā, gan Ministru kabineta noteikumu projektā iekļ</w:t>
            </w:r>
            <w:r w:rsidR="001152FA">
              <w:rPr>
                <w:sz w:val="22"/>
              </w:rPr>
              <w:t>auto, VARAM nekavējoties veiks atbilstošus precizējumus.</w:t>
            </w:r>
          </w:p>
        </w:tc>
        <w:tc>
          <w:tcPr>
            <w:tcW w:w="2409" w:type="dxa"/>
          </w:tcPr>
          <w:p w14:paraId="0838562D" w14:textId="77777777" w:rsidR="00F249D8" w:rsidRDefault="001419B8" w:rsidP="00F249D8">
            <w:pPr>
              <w:pStyle w:val="Standard"/>
              <w:jc w:val="both"/>
              <w:rPr>
                <w:sz w:val="22"/>
              </w:rPr>
            </w:pPr>
            <w:r>
              <w:rPr>
                <w:sz w:val="22"/>
              </w:rPr>
              <w:t>-</w:t>
            </w:r>
          </w:p>
          <w:p w14:paraId="2DF5D992" w14:textId="3B80ABA4" w:rsidR="008D42C8" w:rsidRPr="003A1F75" w:rsidRDefault="008D42C8" w:rsidP="00F249D8">
            <w:pPr>
              <w:pStyle w:val="Standard"/>
              <w:jc w:val="both"/>
              <w:rPr>
                <w:sz w:val="22"/>
              </w:rPr>
            </w:pP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9"/>
      <w:footerReference w:type="default" r:id="rId10"/>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3198A" w14:textId="77777777" w:rsidR="009A5097" w:rsidRDefault="009A5097" w:rsidP="00137F01">
      <w:r>
        <w:separator/>
      </w:r>
    </w:p>
  </w:endnote>
  <w:endnote w:type="continuationSeparator" w:id="0">
    <w:p w14:paraId="41E785C8" w14:textId="77777777" w:rsidR="009A5097" w:rsidRDefault="009A5097" w:rsidP="00137F01">
      <w:r>
        <w:continuationSeparator/>
      </w:r>
    </w:p>
  </w:endnote>
  <w:endnote w:type="continuationNotice" w:id="1">
    <w:p w14:paraId="3BE6AFE7" w14:textId="77777777" w:rsidR="009A5097" w:rsidRDefault="009A5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540398"/>
      <w:docPartObj>
        <w:docPartGallery w:val="Page Numbers (Bottom of Page)"/>
        <w:docPartUnique/>
      </w:docPartObj>
    </w:sdtPr>
    <w:sdtEndPr>
      <w:rPr>
        <w:noProof/>
      </w:rPr>
    </w:sdtEndPr>
    <w:sdtContent>
      <w:p w14:paraId="717C0BD6" w14:textId="412878A1" w:rsidR="00A57181" w:rsidRDefault="00A57181">
        <w:pPr>
          <w:pStyle w:val="Footer"/>
          <w:jc w:val="center"/>
        </w:pPr>
        <w:r>
          <w:fldChar w:fldCharType="begin"/>
        </w:r>
        <w:r>
          <w:instrText xml:space="preserve"> PAGE   \* MERGEFORMAT </w:instrText>
        </w:r>
        <w:r>
          <w:fldChar w:fldCharType="separate"/>
        </w:r>
        <w:r w:rsidR="00CF2966">
          <w:rPr>
            <w:noProof/>
          </w:rPr>
          <w:t>1</w:t>
        </w:r>
        <w:r>
          <w:rPr>
            <w:noProof/>
          </w:rPr>
          <w:fldChar w:fldCharType="end"/>
        </w:r>
      </w:p>
    </w:sdtContent>
  </w:sdt>
  <w:p w14:paraId="183E44C5" w14:textId="77777777" w:rsidR="009B0994" w:rsidRDefault="009B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66096" w14:textId="77777777" w:rsidR="009A5097" w:rsidRDefault="009A5097" w:rsidP="00137F01">
      <w:r>
        <w:separator/>
      </w:r>
    </w:p>
  </w:footnote>
  <w:footnote w:type="continuationSeparator" w:id="0">
    <w:p w14:paraId="6D46BB32" w14:textId="77777777" w:rsidR="009A5097" w:rsidRDefault="009A5097" w:rsidP="00137F01">
      <w:r>
        <w:continuationSeparator/>
      </w:r>
    </w:p>
  </w:footnote>
  <w:footnote w:type="continuationNotice" w:id="1">
    <w:p w14:paraId="05E9C020" w14:textId="77777777" w:rsidR="009A5097" w:rsidRDefault="009A5097"/>
  </w:footnote>
  <w:footnote w:id="2">
    <w:p w14:paraId="0FA92DE1" w14:textId="270521E7" w:rsidR="00CC1FC0" w:rsidRDefault="00CC1FC0" w:rsidP="00CC1FC0">
      <w:pPr>
        <w:pStyle w:val="FootnoteText"/>
        <w:ind w:right="-784"/>
        <w:jc w:val="both"/>
      </w:pPr>
      <w:r>
        <w:rPr>
          <w:rStyle w:val="FootnoteReference"/>
        </w:rPr>
        <w:footnoteRef/>
      </w:r>
      <w:r>
        <w:t xml:space="preserve"> Eiropas Parlamenta un Padomes 2021. gada 24. jūnija Regulā (ES).2021/1060, ar ko paredz kopīgus noteikumus par Eiropas Reģionālās attīstības fondu, Eiropas Sociālo fondu Plus, Kohēzijas fondu, Taisnīgas pārkārtošanas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4D089" w14:textId="22CB6ED3" w:rsidR="009B0994" w:rsidRPr="00137F01" w:rsidRDefault="00177D5B">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3-11-08T00:00:00Z">
          <w:dateFormat w:val="dd.MM.yyyy"/>
          <w:lid w:val="lv-LV"/>
          <w:storeMappedDataAs w:val="dateTime"/>
          <w:calendar w:val="gregorian"/>
        </w:date>
      </w:sdtPr>
      <w:sdtContent>
        <w:r w:rsidR="00BC68B4">
          <w:rPr>
            <w:rFonts w:cs="Times New Roman"/>
            <w:i/>
            <w:szCs w:val="24"/>
          </w:rPr>
          <w:t>08.11.2023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B6336B2"/>
    <w:multiLevelType w:val="hybridMultilevel"/>
    <w:tmpl w:val="1166F2B2"/>
    <w:lvl w:ilvl="0" w:tplc="3348A778">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09580154">
    <w:abstractNumId w:val="5"/>
  </w:num>
  <w:num w:numId="2" w16cid:durableId="17612974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11506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5798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5515216">
    <w:abstractNumId w:val="9"/>
  </w:num>
  <w:num w:numId="6" w16cid:durableId="2141073853">
    <w:abstractNumId w:val="1"/>
  </w:num>
  <w:num w:numId="7" w16cid:durableId="199714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0423322">
    <w:abstractNumId w:val="4"/>
  </w:num>
  <w:num w:numId="9" w16cid:durableId="851722701">
    <w:abstractNumId w:val="6"/>
  </w:num>
  <w:num w:numId="10" w16cid:durableId="2040664277">
    <w:abstractNumId w:val="0"/>
  </w:num>
  <w:num w:numId="11" w16cid:durableId="1680767014">
    <w:abstractNumId w:val="3"/>
  </w:num>
  <w:num w:numId="12" w16cid:durableId="708184013">
    <w:abstractNumId w:val="10"/>
  </w:num>
  <w:num w:numId="13" w16cid:durableId="1728265711">
    <w:abstractNumId w:val="7"/>
  </w:num>
  <w:num w:numId="14" w16cid:durableId="756168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03939"/>
    <w:rsid w:val="00013C7D"/>
    <w:rsid w:val="00015EC3"/>
    <w:rsid w:val="00023754"/>
    <w:rsid w:val="000244C9"/>
    <w:rsid w:val="00033626"/>
    <w:rsid w:val="00035CF1"/>
    <w:rsid w:val="000428C9"/>
    <w:rsid w:val="00061054"/>
    <w:rsid w:val="000705A7"/>
    <w:rsid w:val="0009147B"/>
    <w:rsid w:val="0009733F"/>
    <w:rsid w:val="000A29EA"/>
    <w:rsid w:val="000B1AFA"/>
    <w:rsid w:val="000D0AC8"/>
    <w:rsid w:val="000F1DBF"/>
    <w:rsid w:val="000F356B"/>
    <w:rsid w:val="00100581"/>
    <w:rsid w:val="001152FA"/>
    <w:rsid w:val="00137F01"/>
    <w:rsid w:val="001419B8"/>
    <w:rsid w:val="00155E58"/>
    <w:rsid w:val="00177D5B"/>
    <w:rsid w:val="001867FC"/>
    <w:rsid w:val="001925B9"/>
    <w:rsid w:val="001A4F03"/>
    <w:rsid w:val="001B5569"/>
    <w:rsid w:val="001C1428"/>
    <w:rsid w:val="001C238D"/>
    <w:rsid w:val="001D07F0"/>
    <w:rsid w:val="001E601E"/>
    <w:rsid w:val="001E65B5"/>
    <w:rsid w:val="001F2E99"/>
    <w:rsid w:val="001F6F37"/>
    <w:rsid w:val="00211032"/>
    <w:rsid w:val="00215E10"/>
    <w:rsid w:val="00217C95"/>
    <w:rsid w:val="00223F3F"/>
    <w:rsid w:val="002350F9"/>
    <w:rsid w:val="002366C5"/>
    <w:rsid w:val="00250288"/>
    <w:rsid w:val="00255805"/>
    <w:rsid w:val="002609D7"/>
    <w:rsid w:val="002703D2"/>
    <w:rsid w:val="002741F4"/>
    <w:rsid w:val="00275996"/>
    <w:rsid w:val="00275D1E"/>
    <w:rsid w:val="0027753A"/>
    <w:rsid w:val="002B2727"/>
    <w:rsid w:val="002B3112"/>
    <w:rsid w:val="002B4936"/>
    <w:rsid w:val="002B72A4"/>
    <w:rsid w:val="002C1269"/>
    <w:rsid w:val="002C17AC"/>
    <w:rsid w:val="002C6E04"/>
    <w:rsid w:val="002D3EFC"/>
    <w:rsid w:val="002F00BE"/>
    <w:rsid w:val="002F1F83"/>
    <w:rsid w:val="002F3B3C"/>
    <w:rsid w:val="00307BBC"/>
    <w:rsid w:val="00312619"/>
    <w:rsid w:val="00323E8A"/>
    <w:rsid w:val="00334DDD"/>
    <w:rsid w:val="00335CE5"/>
    <w:rsid w:val="003626FB"/>
    <w:rsid w:val="0038005D"/>
    <w:rsid w:val="00383BC6"/>
    <w:rsid w:val="003A1F75"/>
    <w:rsid w:val="003A4907"/>
    <w:rsid w:val="003B7FB7"/>
    <w:rsid w:val="003C5F54"/>
    <w:rsid w:val="003D23E8"/>
    <w:rsid w:val="003F16D6"/>
    <w:rsid w:val="003F1D33"/>
    <w:rsid w:val="003F6BA5"/>
    <w:rsid w:val="00415931"/>
    <w:rsid w:val="004171B2"/>
    <w:rsid w:val="00432DC6"/>
    <w:rsid w:val="004364FD"/>
    <w:rsid w:val="0045746A"/>
    <w:rsid w:val="00464354"/>
    <w:rsid w:val="004B6F80"/>
    <w:rsid w:val="004B777A"/>
    <w:rsid w:val="004C0800"/>
    <w:rsid w:val="004C638C"/>
    <w:rsid w:val="004E2113"/>
    <w:rsid w:val="004E6D4F"/>
    <w:rsid w:val="004F33C0"/>
    <w:rsid w:val="0050220E"/>
    <w:rsid w:val="005056F5"/>
    <w:rsid w:val="00510CF1"/>
    <w:rsid w:val="00525596"/>
    <w:rsid w:val="00555FC5"/>
    <w:rsid w:val="00563CC3"/>
    <w:rsid w:val="00566E58"/>
    <w:rsid w:val="005B3835"/>
    <w:rsid w:val="005B50EE"/>
    <w:rsid w:val="005C5842"/>
    <w:rsid w:val="005F3D1D"/>
    <w:rsid w:val="0060421F"/>
    <w:rsid w:val="00636BA2"/>
    <w:rsid w:val="0064443B"/>
    <w:rsid w:val="006571AD"/>
    <w:rsid w:val="00674AD9"/>
    <w:rsid w:val="006A5769"/>
    <w:rsid w:val="006D278D"/>
    <w:rsid w:val="006D3185"/>
    <w:rsid w:val="006E2A1D"/>
    <w:rsid w:val="006F094D"/>
    <w:rsid w:val="006F1B07"/>
    <w:rsid w:val="006F65F2"/>
    <w:rsid w:val="006F6C47"/>
    <w:rsid w:val="0070384D"/>
    <w:rsid w:val="00705A2D"/>
    <w:rsid w:val="00717449"/>
    <w:rsid w:val="007202AD"/>
    <w:rsid w:val="0072622B"/>
    <w:rsid w:val="00745966"/>
    <w:rsid w:val="00747747"/>
    <w:rsid w:val="00753BD9"/>
    <w:rsid w:val="00763DFB"/>
    <w:rsid w:val="00767392"/>
    <w:rsid w:val="00772120"/>
    <w:rsid w:val="007B1CEE"/>
    <w:rsid w:val="007B6693"/>
    <w:rsid w:val="007F057F"/>
    <w:rsid w:val="00806D9A"/>
    <w:rsid w:val="008506ED"/>
    <w:rsid w:val="00854005"/>
    <w:rsid w:val="00863D06"/>
    <w:rsid w:val="0086506A"/>
    <w:rsid w:val="00865CBD"/>
    <w:rsid w:val="0087317D"/>
    <w:rsid w:val="008776ED"/>
    <w:rsid w:val="008863D8"/>
    <w:rsid w:val="00890897"/>
    <w:rsid w:val="00892599"/>
    <w:rsid w:val="00896ABA"/>
    <w:rsid w:val="008D0D7C"/>
    <w:rsid w:val="008D1071"/>
    <w:rsid w:val="008D1E41"/>
    <w:rsid w:val="008D42C8"/>
    <w:rsid w:val="008F37DB"/>
    <w:rsid w:val="008F7579"/>
    <w:rsid w:val="00907718"/>
    <w:rsid w:val="009276D0"/>
    <w:rsid w:val="0093193D"/>
    <w:rsid w:val="009364CE"/>
    <w:rsid w:val="00941603"/>
    <w:rsid w:val="00943A8D"/>
    <w:rsid w:val="0095169B"/>
    <w:rsid w:val="0095483D"/>
    <w:rsid w:val="009648C8"/>
    <w:rsid w:val="00967981"/>
    <w:rsid w:val="00983E21"/>
    <w:rsid w:val="00996E0F"/>
    <w:rsid w:val="009A4552"/>
    <w:rsid w:val="009A4625"/>
    <w:rsid w:val="009A5097"/>
    <w:rsid w:val="009A5B84"/>
    <w:rsid w:val="009B0994"/>
    <w:rsid w:val="009B1D4F"/>
    <w:rsid w:val="009B6691"/>
    <w:rsid w:val="009E0793"/>
    <w:rsid w:val="009E27D7"/>
    <w:rsid w:val="009F5748"/>
    <w:rsid w:val="00A1537E"/>
    <w:rsid w:val="00A20C1C"/>
    <w:rsid w:val="00A234C4"/>
    <w:rsid w:val="00A316BC"/>
    <w:rsid w:val="00A3395F"/>
    <w:rsid w:val="00A55FA4"/>
    <w:rsid w:val="00A57181"/>
    <w:rsid w:val="00AA4232"/>
    <w:rsid w:val="00AB6C85"/>
    <w:rsid w:val="00AC0FED"/>
    <w:rsid w:val="00AD4246"/>
    <w:rsid w:val="00B01F47"/>
    <w:rsid w:val="00B06074"/>
    <w:rsid w:val="00B13C90"/>
    <w:rsid w:val="00B26900"/>
    <w:rsid w:val="00B402CA"/>
    <w:rsid w:val="00B4164E"/>
    <w:rsid w:val="00B55104"/>
    <w:rsid w:val="00B60CDE"/>
    <w:rsid w:val="00B71D62"/>
    <w:rsid w:val="00B949B1"/>
    <w:rsid w:val="00B9527A"/>
    <w:rsid w:val="00BA352A"/>
    <w:rsid w:val="00BA3671"/>
    <w:rsid w:val="00BA461D"/>
    <w:rsid w:val="00BC0908"/>
    <w:rsid w:val="00BC68B4"/>
    <w:rsid w:val="00BC77F1"/>
    <w:rsid w:val="00BD0CE2"/>
    <w:rsid w:val="00BD1E18"/>
    <w:rsid w:val="00BE0BB1"/>
    <w:rsid w:val="00BE3462"/>
    <w:rsid w:val="00BE61BF"/>
    <w:rsid w:val="00BE6890"/>
    <w:rsid w:val="00C03394"/>
    <w:rsid w:val="00C057B6"/>
    <w:rsid w:val="00C0583E"/>
    <w:rsid w:val="00C4677F"/>
    <w:rsid w:val="00C502F0"/>
    <w:rsid w:val="00C74B01"/>
    <w:rsid w:val="00C75170"/>
    <w:rsid w:val="00CA1237"/>
    <w:rsid w:val="00CC199F"/>
    <w:rsid w:val="00CC1FC0"/>
    <w:rsid w:val="00CD44E7"/>
    <w:rsid w:val="00CD5B25"/>
    <w:rsid w:val="00CF1F8B"/>
    <w:rsid w:val="00CF2966"/>
    <w:rsid w:val="00D10320"/>
    <w:rsid w:val="00D15CE8"/>
    <w:rsid w:val="00D22868"/>
    <w:rsid w:val="00D8054B"/>
    <w:rsid w:val="00D864E0"/>
    <w:rsid w:val="00DB240C"/>
    <w:rsid w:val="00DD1EAB"/>
    <w:rsid w:val="00DD25F8"/>
    <w:rsid w:val="00DD45E5"/>
    <w:rsid w:val="00DE12F6"/>
    <w:rsid w:val="00E00B81"/>
    <w:rsid w:val="00E04F08"/>
    <w:rsid w:val="00E13EA7"/>
    <w:rsid w:val="00E1478B"/>
    <w:rsid w:val="00E16A55"/>
    <w:rsid w:val="00E21547"/>
    <w:rsid w:val="00E538AE"/>
    <w:rsid w:val="00E85837"/>
    <w:rsid w:val="00E926DF"/>
    <w:rsid w:val="00EC1EBB"/>
    <w:rsid w:val="00EC7C30"/>
    <w:rsid w:val="00ED2338"/>
    <w:rsid w:val="00ED67DD"/>
    <w:rsid w:val="00EF00E6"/>
    <w:rsid w:val="00EF20EF"/>
    <w:rsid w:val="00F14914"/>
    <w:rsid w:val="00F23128"/>
    <w:rsid w:val="00F249D8"/>
    <w:rsid w:val="00F50203"/>
    <w:rsid w:val="00F504E2"/>
    <w:rsid w:val="00F60708"/>
    <w:rsid w:val="00F617DE"/>
    <w:rsid w:val="00F7503A"/>
    <w:rsid w:val="00FB29C4"/>
    <w:rsid w:val="00FC1C99"/>
    <w:rsid w:val="00FC4724"/>
    <w:rsid w:val="00FC7496"/>
    <w:rsid w:val="00FE1392"/>
    <w:rsid w:val="6EBB0D22"/>
    <w:rsid w:val="7F5A4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B61C5D4A-7B0A-40CC-B6FB-884B5A45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 w:type="paragraph" w:customStyle="1" w:styleId="title-doc-first">
    <w:name w:val="title-doc-first"/>
    <w:basedOn w:val="Normal"/>
    <w:rsid w:val="00E85837"/>
    <w:pPr>
      <w:widowControl/>
      <w:suppressAutoHyphens w:val="0"/>
      <w:autoSpaceDN/>
      <w:spacing w:before="100" w:beforeAutospacing="1" w:after="100" w:afterAutospacing="1"/>
      <w:textAlignment w:val="auto"/>
    </w:pPr>
    <w:rPr>
      <w:rFonts w:eastAsia="Times New Roman" w:cs="Times New Roman"/>
      <w:kern w:val="0"/>
      <w:szCs w:val="24"/>
      <w:lang w:eastAsia="lv-LV"/>
    </w:rPr>
  </w:style>
  <w:style w:type="paragraph" w:customStyle="1" w:styleId="tbl-norm">
    <w:name w:val="tbl-norm"/>
    <w:basedOn w:val="Normal"/>
    <w:rsid w:val="00E00B81"/>
    <w:pPr>
      <w:widowControl/>
      <w:suppressAutoHyphens w:val="0"/>
      <w:autoSpaceDN/>
      <w:spacing w:before="100" w:beforeAutospacing="1" w:after="100" w:afterAutospacing="1"/>
      <w:textAlignment w:val="auto"/>
    </w:pPr>
    <w:rPr>
      <w:rFonts w:eastAsia="Times New Roman" w:cs="Times New Roman"/>
      <w:kern w:val="0"/>
      <w:szCs w:val="24"/>
      <w:lang w:eastAsia="lv-LV"/>
    </w:rPr>
  </w:style>
  <w:style w:type="character" w:customStyle="1" w:styleId="subscript">
    <w:name w:val="subscript"/>
    <w:basedOn w:val="DefaultParagraphFont"/>
    <w:rsid w:val="00E00B81"/>
  </w:style>
  <w:style w:type="character" w:styleId="FollowedHyperlink">
    <w:name w:val="FollowedHyperlink"/>
    <w:basedOn w:val="DefaultParagraphFont"/>
    <w:uiPriority w:val="99"/>
    <w:semiHidden/>
    <w:unhideWhenUsed/>
    <w:rsid w:val="00C03394"/>
    <w:rPr>
      <w:color w:val="954F72" w:themeColor="followedHyperlink"/>
      <w:u w:val="single"/>
    </w:rPr>
  </w:style>
  <w:style w:type="paragraph" w:styleId="Subtitle">
    <w:name w:val="Subtitle"/>
    <w:basedOn w:val="Normal"/>
    <w:next w:val="Normal"/>
    <w:link w:val="SubtitleChar"/>
    <w:uiPriority w:val="11"/>
    <w:qFormat/>
    <w:rsid w:val="00F249D8"/>
    <w:pPr>
      <w:widowControl/>
      <w:suppressAutoHyphens w:val="0"/>
      <w:autoSpaceDN/>
      <w:spacing w:before="60"/>
      <w:contextualSpacing/>
      <w:jc w:val="both"/>
      <w:textAlignment w:val="auto"/>
    </w:pPr>
    <w:rPr>
      <w:rFonts w:ascii="Arial" w:eastAsia="Arial" w:hAnsi="Arial" w:cs="Arial"/>
      <w:color w:val="333333"/>
      <w:kern w:val="0"/>
      <w:sz w:val="28"/>
      <w:szCs w:val="20"/>
      <w:lang w:eastAsia="lv-LV"/>
    </w:rPr>
  </w:style>
  <w:style w:type="character" w:customStyle="1" w:styleId="SubtitleChar">
    <w:name w:val="Subtitle Char"/>
    <w:basedOn w:val="DefaultParagraphFont"/>
    <w:link w:val="Subtitle"/>
    <w:uiPriority w:val="11"/>
    <w:rsid w:val="00F249D8"/>
    <w:rPr>
      <w:rFonts w:ascii="Arial" w:eastAsia="Arial" w:hAnsi="Arial" w:cs="Arial"/>
      <w:color w:val="333333"/>
      <w:kern w:val="0"/>
      <w:sz w:val="28"/>
      <w:szCs w:val="20"/>
      <w:lang w:eastAsia="lv-LV"/>
      <w14:ligatures w14:val="none"/>
    </w:rPr>
  </w:style>
  <w:style w:type="paragraph" w:customStyle="1" w:styleId="norm">
    <w:name w:val="norm"/>
    <w:basedOn w:val="Normal"/>
    <w:rsid w:val="00464354"/>
    <w:pPr>
      <w:widowControl/>
      <w:suppressAutoHyphens w:val="0"/>
      <w:autoSpaceDN/>
      <w:spacing w:before="100" w:beforeAutospacing="1" w:after="100" w:afterAutospacing="1"/>
      <w:textAlignment w:val="auto"/>
    </w:pPr>
    <w:rPr>
      <w:rFonts w:eastAsia="Times New Roman" w:cs="Times New Roman"/>
      <w:kern w:val="0"/>
      <w:szCs w:val="24"/>
      <w:lang w:eastAsia="lv-LV"/>
    </w:rPr>
  </w:style>
  <w:style w:type="character" w:customStyle="1" w:styleId="superscript">
    <w:name w:val="superscript"/>
    <w:basedOn w:val="DefaultParagraphFont"/>
    <w:rsid w:val="00464354"/>
  </w:style>
  <w:style w:type="paragraph" w:styleId="FootnoteText">
    <w:name w:val="footnote text"/>
    <w:basedOn w:val="Normal"/>
    <w:link w:val="FootnoteTextChar"/>
    <w:uiPriority w:val="99"/>
    <w:semiHidden/>
    <w:unhideWhenUsed/>
    <w:rsid w:val="00CC1FC0"/>
    <w:rPr>
      <w:sz w:val="20"/>
      <w:szCs w:val="20"/>
    </w:rPr>
  </w:style>
  <w:style w:type="character" w:customStyle="1" w:styleId="FootnoteTextChar">
    <w:name w:val="Footnote Text Char"/>
    <w:basedOn w:val="DefaultParagraphFont"/>
    <w:link w:val="FootnoteText"/>
    <w:uiPriority w:val="99"/>
    <w:semiHidden/>
    <w:rsid w:val="00CC1FC0"/>
    <w:rPr>
      <w:rFonts w:eastAsia="SimSun" w:cs="F"/>
      <w:kern w:val="3"/>
      <w:sz w:val="20"/>
      <w:szCs w:val="20"/>
      <w14:ligatures w14:val="none"/>
    </w:rPr>
  </w:style>
  <w:style w:type="character" w:styleId="FootnoteReference">
    <w:name w:val="footnote reference"/>
    <w:basedOn w:val="DefaultParagraphFont"/>
    <w:uiPriority w:val="99"/>
    <w:semiHidden/>
    <w:unhideWhenUsed/>
    <w:rsid w:val="00CC1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132411">
      <w:bodyDiv w:val="1"/>
      <w:marLeft w:val="0"/>
      <w:marRight w:val="0"/>
      <w:marTop w:val="0"/>
      <w:marBottom w:val="0"/>
      <w:divBdr>
        <w:top w:val="none" w:sz="0" w:space="0" w:color="auto"/>
        <w:left w:val="none" w:sz="0" w:space="0" w:color="auto"/>
        <w:bottom w:val="none" w:sz="0" w:space="0" w:color="auto"/>
        <w:right w:val="none" w:sz="0" w:space="0" w:color="auto"/>
      </w:divBdr>
    </w:div>
    <w:div w:id="608855577">
      <w:bodyDiv w:val="1"/>
      <w:marLeft w:val="0"/>
      <w:marRight w:val="0"/>
      <w:marTop w:val="0"/>
      <w:marBottom w:val="0"/>
      <w:divBdr>
        <w:top w:val="none" w:sz="0" w:space="0" w:color="auto"/>
        <w:left w:val="none" w:sz="0" w:space="0" w:color="auto"/>
        <w:bottom w:val="none" w:sz="0" w:space="0" w:color="auto"/>
        <w:right w:val="none" w:sz="0" w:space="0" w:color="auto"/>
      </w:divBdr>
    </w:div>
    <w:div w:id="948044546">
      <w:bodyDiv w:val="1"/>
      <w:marLeft w:val="0"/>
      <w:marRight w:val="0"/>
      <w:marTop w:val="0"/>
      <w:marBottom w:val="0"/>
      <w:divBdr>
        <w:top w:val="none" w:sz="0" w:space="0" w:color="auto"/>
        <w:left w:val="none" w:sz="0" w:space="0" w:color="auto"/>
        <w:bottom w:val="none" w:sz="0" w:space="0" w:color="auto"/>
        <w:right w:val="none" w:sz="0" w:space="0" w:color="auto"/>
      </w:divBdr>
    </w:div>
    <w:div w:id="972713917">
      <w:bodyDiv w:val="1"/>
      <w:marLeft w:val="0"/>
      <w:marRight w:val="0"/>
      <w:marTop w:val="0"/>
      <w:marBottom w:val="0"/>
      <w:divBdr>
        <w:top w:val="none" w:sz="0" w:space="0" w:color="auto"/>
        <w:left w:val="none" w:sz="0" w:space="0" w:color="auto"/>
        <w:bottom w:val="none" w:sz="0" w:space="0" w:color="auto"/>
        <w:right w:val="none" w:sz="0" w:space="0" w:color="auto"/>
      </w:divBdr>
      <w:divsChild>
        <w:div w:id="437990045">
          <w:marLeft w:val="0"/>
          <w:marRight w:val="0"/>
          <w:marTop w:val="0"/>
          <w:marBottom w:val="0"/>
          <w:divBdr>
            <w:top w:val="none" w:sz="0" w:space="0" w:color="auto"/>
            <w:left w:val="none" w:sz="0" w:space="0" w:color="auto"/>
            <w:bottom w:val="none" w:sz="0" w:space="0" w:color="auto"/>
            <w:right w:val="none" w:sz="0" w:space="0" w:color="auto"/>
          </w:divBdr>
          <w:divsChild>
            <w:div w:id="1274436109">
              <w:marLeft w:val="0"/>
              <w:marRight w:val="0"/>
              <w:marTop w:val="0"/>
              <w:marBottom w:val="0"/>
              <w:divBdr>
                <w:top w:val="none" w:sz="0" w:space="0" w:color="auto"/>
                <w:left w:val="none" w:sz="0" w:space="0" w:color="auto"/>
                <w:bottom w:val="none" w:sz="0" w:space="0" w:color="auto"/>
                <w:right w:val="none" w:sz="0" w:space="0" w:color="auto"/>
              </w:divBdr>
              <w:divsChild>
                <w:div w:id="1313482908">
                  <w:marLeft w:val="0"/>
                  <w:marRight w:val="0"/>
                  <w:marTop w:val="120"/>
                  <w:marBottom w:val="0"/>
                  <w:divBdr>
                    <w:top w:val="none" w:sz="0" w:space="0" w:color="auto"/>
                    <w:left w:val="none" w:sz="0" w:space="0" w:color="auto"/>
                    <w:bottom w:val="none" w:sz="0" w:space="0" w:color="auto"/>
                    <w:right w:val="none" w:sz="0" w:space="0" w:color="auto"/>
                  </w:divBdr>
                </w:div>
                <w:div w:id="1822117338">
                  <w:marLeft w:val="0"/>
                  <w:marRight w:val="0"/>
                  <w:marTop w:val="0"/>
                  <w:marBottom w:val="0"/>
                  <w:divBdr>
                    <w:top w:val="none" w:sz="0" w:space="0" w:color="auto"/>
                    <w:left w:val="none" w:sz="0" w:space="0" w:color="auto"/>
                    <w:bottom w:val="none" w:sz="0" w:space="0" w:color="auto"/>
                    <w:right w:val="none" w:sz="0" w:space="0" w:color="auto"/>
                  </w:divBdr>
                </w:div>
              </w:divsChild>
            </w:div>
            <w:div w:id="1746798823">
              <w:marLeft w:val="0"/>
              <w:marRight w:val="0"/>
              <w:marTop w:val="0"/>
              <w:marBottom w:val="0"/>
              <w:divBdr>
                <w:top w:val="none" w:sz="0" w:space="0" w:color="auto"/>
                <w:left w:val="none" w:sz="0" w:space="0" w:color="auto"/>
                <w:bottom w:val="none" w:sz="0" w:space="0" w:color="auto"/>
                <w:right w:val="none" w:sz="0" w:space="0" w:color="auto"/>
              </w:divBdr>
              <w:divsChild>
                <w:div w:id="1352996614">
                  <w:marLeft w:val="0"/>
                  <w:marRight w:val="0"/>
                  <w:marTop w:val="120"/>
                  <w:marBottom w:val="0"/>
                  <w:divBdr>
                    <w:top w:val="none" w:sz="0" w:space="0" w:color="auto"/>
                    <w:left w:val="none" w:sz="0" w:space="0" w:color="auto"/>
                    <w:bottom w:val="none" w:sz="0" w:space="0" w:color="auto"/>
                    <w:right w:val="none" w:sz="0" w:space="0" w:color="auto"/>
                  </w:divBdr>
                </w:div>
                <w:div w:id="15718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185">
          <w:marLeft w:val="0"/>
          <w:marRight w:val="0"/>
          <w:marTop w:val="120"/>
          <w:marBottom w:val="0"/>
          <w:divBdr>
            <w:top w:val="none" w:sz="0" w:space="0" w:color="auto"/>
            <w:left w:val="none" w:sz="0" w:space="0" w:color="auto"/>
            <w:bottom w:val="none" w:sz="0" w:space="0" w:color="auto"/>
            <w:right w:val="none" w:sz="0" w:space="0" w:color="auto"/>
          </w:divBdr>
        </w:div>
      </w:divsChild>
    </w:div>
  </w:divs>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fpfis/wikis/display/StateAid/Art.+47+-+Resource+efficien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5178E5"/>
    <w:rsid w:val="006E7505"/>
    <w:rsid w:val="00994E0D"/>
    <w:rsid w:val="00B15FBD"/>
    <w:rsid w:val="00DA51A3"/>
    <w:rsid w:val="00E14FEA"/>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7"/>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B66F-DCA7-4325-8287-C5A476F5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1362</Words>
  <Characters>7764</Characters>
  <Application>Microsoft Office Word</Application>
  <DocSecurity>4</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Austra Auzina</cp:lastModifiedBy>
  <cp:revision>226</cp:revision>
  <dcterms:created xsi:type="dcterms:W3CDTF">2023-11-07T03:22:00Z</dcterms:created>
  <dcterms:modified xsi:type="dcterms:W3CDTF">2023-11-08T20:29:00Z</dcterms:modified>
</cp:coreProperties>
</file>