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12ACC" w14:textId="06C83479" w:rsidR="00137F01" w:rsidRPr="00A57181" w:rsidRDefault="00137F01" w:rsidP="00B55104">
      <w:pPr>
        <w:pStyle w:val="Standard"/>
        <w:jc w:val="center"/>
        <w:rPr>
          <w:b/>
          <w:szCs w:val="24"/>
        </w:rPr>
      </w:pPr>
      <w:r w:rsidRPr="00A57181">
        <w:rPr>
          <w:b/>
          <w:szCs w:val="24"/>
        </w:rPr>
        <w:t xml:space="preserve">Izziņa ar saņemtajiem komentāriem par </w:t>
      </w:r>
      <w:r w:rsidR="00CF2966">
        <w:rPr>
          <w:b/>
          <w:szCs w:val="24"/>
        </w:rPr>
        <w:t>ES</w:t>
      </w:r>
      <w:r w:rsidRPr="00A57181">
        <w:rPr>
          <w:b/>
          <w:szCs w:val="24"/>
        </w:rPr>
        <w:t xml:space="preserve"> fondu 2021.–2027.gada plānošanas perioda </w:t>
      </w:r>
      <w:r w:rsidR="00B55104">
        <w:rPr>
          <w:b/>
          <w:szCs w:val="24"/>
        </w:rPr>
        <w:t xml:space="preserve">Uzraudzības komitejas rakstiskajā procedūrā </w:t>
      </w:r>
      <w:r w:rsidRPr="00A57181">
        <w:rPr>
          <w:b/>
          <w:szCs w:val="24"/>
        </w:rPr>
        <w:t xml:space="preserve">izskatāmajiem </w:t>
      </w:r>
      <w:r w:rsidR="0063222A" w:rsidRPr="0063222A">
        <w:rPr>
          <w:b/>
          <w:szCs w:val="24"/>
        </w:rPr>
        <w:t xml:space="preserve">Vides aizsardzības un reģionālās attīstības </w:t>
      </w:r>
      <w:r w:rsidR="00A57181" w:rsidRPr="00A57181">
        <w:rPr>
          <w:b/>
          <w:szCs w:val="24"/>
        </w:rPr>
        <w:t xml:space="preserve">ministrijas </w:t>
      </w:r>
      <w:r w:rsidR="0063222A" w:rsidRPr="0063222A">
        <w:rPr>
          <w:b/>
          <w:szCs w:val="24"/>
        </w:rPr>
        <w:t xml:space="preserve">1.3.1.1.pasākuma “IKT risinājumu un pakalpojumu attīstība un iespēju radīšana privātajam sektoram” </w:t>
      </w:r>
      <w:r w:rsidRPr="00A57181">
        <w:rPr>
          <w:b/>
        </w:rPr>
        <w:t>materiāliem</w:t>
      </w:r>
    </w:p>
    <w:p w14:paraId="6EC3D236" w14:textId="6FC082C0" w:rsidR="00137F01" w:rsidRDefault="00137F01" w:rsidP="00137F01">
      <w:pPr>
        <w:pStyle w:val="Standard"/>
        <w:shd w:val="clear" w:color="auto" w:fill="FFFFFF"/>
        <w:jc w:val="center"/>
        <w:rPr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6"/>
        <w:gridCol w:w="1707"/>
        <w:gridCol w:w="6822"/>
        <w:gridCol w:w="2425"/>
        <w:gridCol w:w="2438"/>
      </w:tblGrid>
      <w:tr w:rsidR="00A57181" w:rsidRPr="00CE4F98" w14:paraId="1DC85C06" w14:textId="77777777" w:rsidTr="00CE4F98">
        <w:tc>
          <w:tcPr>
            <w:tcW w:w="556" w:type="dxa"/>
          </w:tcPr>
          <w:p w14:paraId="4BB141E3" w14:textId="76725B81" w:rsidR="00A57181" w:rsidRPr="00CE4F98" w:rsidRDefault="00A57181" w:rsidP="00137F01">
            <w:pPr>
              <w:pStyle w:val="Standard"/>
              <w:jc w:val="center"/>
              <w:rPr>
                <w:rFonts w:cs="Times New Roman"/>
                <w:b/>
                <w:bCs/>
                <w:sz w:val="22"/>
              </w:rPr>
            </w:pPr>
            <w:r w:rsidRPr="00CE4F98">
              <w:rPr>
                <w:rFonts w:cs="Times New Roman"/>
                <w:b/>
                <w:bCs/>
                <w:sz w:val="22"/>
              </w:rPr>
              <w:t>Nr.</w:t>
            </w:r>
          </w:p>
        </w:tc>
        <w:tc>
          <w:tcPr>
            <w:tcW w:w="1707" w:type="dxa"/>
          </w:tcPr>
          <w:p w14:paraId="6A3984BE" w14:textId="1C6C92FE" w:rsidR="00A57181" w:rsidRPr="00CE4F98" w:rsidRDefault="00A57181" w:rsidP="00137F01">
            <w:pPr>
              <w:pStyle w:val="Standard"/>
              <w:jc w:val="center"/>
              <w:rPr>
                <w:rFonts w:cs="Times New Roman"/>
                <w:b/>
                <w:bCs/>
                <w:sz w:val="22"/>
              </w:rPr>
            </w:pPr>
            <w:r w:rsidRPr="00CE4F98">
              <w:rPr>
                <w:rFonts w:cs="Times New Roman"/>
                <w:b/>
                <w:bCs/>
                <w:sz w:val="22"/>
              </w:rPr>
              <w:t>Materiālu esošā redakcija</w:t>
            </w:r>
          </w:p>
        </w:tc>
        <w:tc>
          <w:tcPr>
            <w:tcW w:w="6822" w:type="dxa"/>
          </w:tcPr>
          <w:p w14:paraId="3BA660B7" w14:textId="0CE7339B" w:rsidR="00A57181" w:rsidRPr="00CE4F98" w:rsidRDefault="003B1EF8" w:rsidP="00A57181">
            <w:pPr>
              <w:pStyle w:val="Standard"/>
              <w:jc w:val="center"/>
              <w:rPr>
                <w:rFonts w:cs="Times New Roman"/>
                <w:b/>
                <w:bCs/>
                <w:sz w:val="22"/>
              </w:rPr>
            </w:pPr>
            <w:r w:rsidRPr="00CE4F98">
              <w:rPr>
                <w:rFonts w:cs="Times New Roman"/>
                <w:b/>
                <w:bCs/>
                <w:sz w:val="22"/>
              </w:rPr>
              <w:t>U</w:t>
            </w:r>
            <w:r w:rsidR="00A57181" w:rsidRPr="00CE4F98">
              <w:rPr>
                <w:rFonts w:cs="Times New Roman"/>
                <w:b/>
                <w:bCs/>
                <w:sz w:val="22"/>
              </w:rPr>
              <w:t>K dalībnieka komentārs</w:t>
            </w:r>
          </w:p>
        </w:tc>
        <w:tc>
          <w:tcPr>
            <w:tcW w:w="2425" w:type="dxa"/>
          </w:tcPr>
          <w:p w14:paraId="78D91156" w14:textId="52B5B91F" w:rsidR="00A57181" w:rsidRPr="00CE4F98" w:rsidRDefault="00A57181" w:rsidP="00137F01">
            <w:pPr>
              <w:pStyle w:val="Standard"/>
              <w:jc w:val="center"/>
              <w:rPr>
                <w:rFonts w:cs="Times New Roman"/>
                <w:b/>
                <w:bCs/>
                <w:sz w:val="22"/>
              </w:rPr>
            </w:pPr>
            <w:r w:rsidRPr="00CE4F98">
              <w:rPr>
                <w:rFonts w:cs="Times New Roman"/>
                <w:b/>
                <w:bCs/>
                <w:sz w:val="22"/>
              </w:rPr>
              <w:t>AI viedoklis</w:t>
            </w:r>
          </w:p>
        </w:tc>
        <w:tc>
          <w:tcPr>
            <w:tcW w:w="2438" w:type="dxa"/>
          </w:tcPr>
          <w:p w14:paraId="3A7B0DAC" w14:textId="0C266D42" w:rsidR="00A57181" w:rsidRPr="00CE4F98" w:rsidRDefault="00A57181" w:rsidP="00137F01">
            <w:pPr>
              <w:pStyle w:val="Standard"/>
              <w:jc w:val="center"/>
              <w:rPr>
                <w:rFonts w:cs="Times New Roman"/>
                <w:b/>
                <w:bCs/>
                <w:sz w:val="22"/>
              </w:rPr>
            </w:pPr>
            <w:r w:rsidRPr="00CE4F98">
              <w:rPr>
                <w:rFonts w:cs="Times New Roman"/>
                <w:b/>
                <w:bCs/>
                <w:sz w:val="22"/>
              </w:rPr>
              <w:t>Gala redakcija</w:t>
            </w:r>
          </w:p>
        </w:tc>
      </w:tr>
      <w:tr w:rsidR="00A57181" w:rsidRPr="00CE4F98" w14:paraId="380416C8" w14:textId="77777777" w:rsidTr="00CE4F98">
        <w:tc>
          <w:tcPr>
            <w:tcW w:w="556" w:type="dxa"/>
          </w:tcPr>
          <w:p w14:paraId="2A7F122C" w14:textId="77777777" w:rsidR="00A57181" w:rsidRPr="00CE4F98" w:rsidRDefault="00A57181" w:rsidP="00137F01">
            <w:pPr>
              <w:pStyle w:val="Standard"/>
              <w:jc w:val="center"/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1707" w:type="dxa"/>
          </w:tcPr>
          <w:p w14:paraId="67E8DA1B" w14:textId="393A3207" w:rsidR="00A57181" w:rsidRPr="00CE4F98" w:rsidRDefault="00A57181" w:rsidP="00137F01">
            <w:pPr>
              <w:pStyle w:val="Standard"/>
              <w:jc w:val="center"/>
              <w:rPr>
                <w:rFonts w:cs="Times New Roman"/>
                <w:b/>
                <w:bCs/>
                <w:sz w:val="22"/>
              </w:rPr>
            </w:pPr>
            <w:r w:rsidRPr="00CE4F98">
              <w:rPr>
                <w:rFonts w:cs="Times New Roman"/>
                <w:b/>
                <w:bCs/>
                <w:sz w:val="22"/>
              </w:rPr>
              <w:t>1</w:t>
            </w:r>
          </w:p>
        </w:tc>
        <w:tc>
          <w:tcPr>
            <w:tcW w:w="6822" w:type="dxa"/>
          </w:tcPr>
          <w:p w14:paraId="6B041985" w14:textId="089E011A" w:rsidR="00A57181" w:rsidRPr="00CE4F98" w:rsidRDefault="00A57181" w:rsidP="00137F01">
            <w:pPr>
              <w:pStyle w:val="Standard"/>
              <w:jc w:val="center"/>
              <w:rPr>
                <w:rFonts w:cs="Times New Roman"/>
                <w:b/>
                <w:bCs/>
                <w:sz w:val="22"/>
              </w:rPr>
            </w:pPr>
            <w:r w:rsidRPr="00CE4F98">
              <w:rPr>
                <w:rFonts w:cs="Times New Roman"/>
                <w:b/>
                <w:bCs/>
                <w:sz w:val="22"/>
              </w:rPr>
              <w:t>2</w:t>
            </w:r>
          </w:p>
        </w:tc>
        <w:tc>
          <w:tcPr>
            <w:tcW w:w="2425" w:type="dxa"/>
          </w:tcPr>
          <w:p w14:paraId="1753E9BF" w14:textId="309CEBA8" w:rsidR="00A57181" w:rsidRPr="00CE4F98" w:rsidRDefault="00A57181" w:rsidP="00137F01">
            <w:pPr>
              <w:pStyle w:val="Standard"/>
              <w:jc w:val="center"/>
              <w:rPr>
                <w:rFonts w:cs="Times New Roman"/>
                <w:b/>
                <w:bCs/>
                <w:sz w:val="22"/>
              </w:rPr>
            </w:pPr>
            <w:r w:rsidRPr="00CE4F98">
              <w:rPr>
                <w:rFonts w:cs="Times New Roman"/>
                <w:b/>
                <w:bCs/>
                <w:sz w:val="22"/>
              </w:rPr>
              <w:t>3</w:t>
            </w:r>
          </w:p>
        </w:tc>
        <w:tc>
          <w:tcPr>
            <w:tcW w:w="2438" w:type="dxa"/>
          </w:tcPr>
          <w:p w14:paraId="093B038E" w14:textId="0F096221" w:rsidR="00A57181" w:rsidRPr="00CE4F98" w:rsidRDefault="00A57181" w:rsidP="00137F01">
            <w:pPr>
              <w:pStyle w:val="Standard"/>
              <w:jc w:val="center"/>
              <w:rPr>
                <w:rFonts w:cs="Times New Roman"/>
                <w:b/>
                <w:bCs/>
                <w:sz w:val="22"/>
              </w:rPr>
            </w:pPr>
            <w:r w:rsidRPr="00CE4F98">
              <w:rPr>
                <w:rFonts w:cs="Times New Roman"/>
                <w:b/>
                <w:bCs/>
                <w:sz w:val="22"/>
              </w:rPr>
              <w:t>3</w:t>
            </w:r>
          </w:p>
        </w:tc>
      </w:tr>
      <w:tr w:rsidR="00177D5B" w:rsidRPr="00CE4F98" w14:paraId="0C90F9EC" w14:textId="77777777" w:rsidTr="00165F02">
        <w:tc>
          <w:tcPr>
            <w:tcW w:w="13948" w:type="dxa"/>
            <w:gridSpan w:val="5"/>
            <w:shd w:val="clear" w:color="auto" w:fill="C5E0B3" w:themeFill="accent6" w:themeFillTint="66"/>
          </w:tcPr>
          <w:p w14:paraId="743E13F8" w14:textId="5710692D" w:rsidR="00177D5B" w:rsidRPr="00CE4F98" w:rsidRDefault="00177D5B" w:rsidP="00177D5B">
            <w:pPr>
              <w:pStyle w:val="Standard"/>
              <w:jc w:val="both"/>
              <w:rPr>
                <w:rFonts w:cs="Times New Roman"/>
                <w:b/>
                <w:bCs/>
                <w:sz w:val="22"/>
              </w:rPr>
            </w:pPr>
            <w:r w:rsidRPr="00CE4F98">
              <w:rPr>
                <w:rFonts w:cs="Times New Roman"/>
                <w:b/>
                <w:bCs/>
                <w:sz w:val="22"/>
              </w:rPr>
              <w:t>Par kopsavilkumu</w:t>
            </w:r>
          </w:p>
        </w:tc>
      </w:tr>
      <w:tr w:rsidR="00177D5B" w:rsidRPr="00CE4F98" w14:paraId="1012D401" w14:textId="77777777" w:rsidTr="00CE4F98">
        <w:tc>
          <w:tcPr>
            <w:tcW w:w="556" w:type="dxa"/>
          </w:tcPr>
          <w:p w14:paraId="63FAA55F" w14:textId="77777777" w:rsidR="00177D5B" w:rsidRPr="00CE4F98" w:rsidRDefault="00177D5B" w:rsidP="00A57181">
            <w:pPr>
              <w:pStyle w:val="Standard"/>
              <w:numPr>
                <w:ilvl w:val="0"/>
                <w:numId w:val="13"/>
              </w:numPr>
              <w:ind w:hanging="1049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707" w:type="dxa"/>
          </w:tcPr>
          <w:p w14:paraId="21A724F3" w14:textId="034C0D81" w:rsidR="00177D5B" w:rsidRPr="00CE4F98" w:rsidRDefault="00CE4F98" w:rsidP="00177D5B">
            <w:pPr>
              <w:pStyle w:val="Standard"/>
              <w:jc w:val="both"/>
              <w:rPr>
                <w:rFonts w:cs="Times New Roman"/>
                <w:b/>
                <w:bCs/>
                <w:sz w:val="22"/>
              </w:rPr>
            </w:pPr>
            <w:r w:rsidRPr="00CE4F98">
              <w:rPr>
                <w:rFonts w:cs="Times New Roman"/>
                <w:b/>
                <w:bCs/>
                <w:sz w:val="22"/>
              </w:rPr>
              <w:t>Vispārīgi</w:t>
            </w:r>
          </w:p>
        </w:tc>
        <w:tc>
          <w:tcPr>
            <w:tcW w:w="6822" w:type="dxa"/>
          </w:tcPr>
          <w:p w14:paraId="041EA561" w14:textId="26BB3A4E" w:rsidR="00CE4F98" w:rsidRPr="00CE4F98" w:rsidRDefault="00CE4F98" w:rsidP="00CE4F98">
            <w:pPr>
              <w:pStyle w:val="Standard"/>
              <w:jc w:val="both"/>
              <w:rPr>
                <w:b/>
                <w:bCs/>
                <w:sz w:val="22"/>
              </w:rPr>
            </w:pPr>
            <w:r w:rsidRPr="00CE4F98">
              <w:rPr>
                <w:b/>
                <w:bCs/>
                <w:sz w:val="22"/>
              </w:rPr>
              <w:t xml:space="preserve">Latvijas Informācijas un komunikācijas tehnoloģijas asociācija </w:t>
            </w:r>
          </w:p>
          <w:p w14:paraId="080AA2CE" w14:textId="77777777" w:rsidR="00CE4F98" w:rsidRPr="00CE4F98" w:rsidRDefault="00CE4F98" w:rsidP="00CE4F98">
            <w:pPr>
              <w:pStyle w:val="Standard"/>
              <w:jc w:val="both"/>
              <w:rPr>
                <w:sz w:val="22"/>
              </w:rPr>
            </w:pPr>
          </w:p>
          <w:p w14:paraId="1B146007" w14:textId="77777777" w:rsidR="00CE4F98" w:rsidRPr="00CE4F98" w:rsidRDefault="00CE4F98" w:rsidP="00CE4F98">
            <w:pPr>
              <w:pStyle w:val="Standard"/>
              <w:jc w:val="both"/>
              <w:rPr>
                <w:sz w:val="22"/>
              </w:rPr>
            </w:pPr>
            <w:r w:rsidRPr="00CE4F98">
              <w:rPr>
                <w:sz w:val="22"/>
              </w:rPr>
              <w:t>VARAM izstrādātajos kritērijos nav paredzētas Mākoņpakalpojumu (Cloud) programmatūras nomas / abonēšanas izmaksas. Ir minēts tikai: izstrāde, iegāde.</w:t>
            </w:r>
          </w:p>
          <w:p w14:paraId="77B49FF1" w14:textId="77777777" w:rsidR="00CE4F98" w:rsidRPr="00CE4F98" w:rsidRDefault="00CE4F98" w:rsidP="00CE4F98">
            <w:pPr>
              <w:pStyle w:val="Standard"/>
              <w:jc w:val="both"/>
              <w:rPr>
                <w:sz w:val="22"/>
              </w:rPr>
            </w:pPr>
          </w:p>
          <w:p w14:paraId="6768D19E" w14:textId="77777777" w:rsidR="00CE4F98" w:rsidRPr="00CE4F98" w:rsidRDefault="00CE4F98" w:rsidP="00CE4F98">
            <w:pPr>
              <w:pStyle w:val="Standard"/>
              <w:jc w:val="both"/>
              <w:rPr>
                <w:sz w:val="22"/>
              </w:rPr>
            </w:pPr>
            <w:r w:rsidRPr="00CE4F98">
              <w:rPr>
                <w:sz w:val="22"/>
              </w:rPr>
              <w:t>Ierosinājumi – papildināt ar dzeltenu fonu “nomas vai abonēšanas”.</w:t>
            </w:r>
          </w:p>
          <w:p w14:paraId="3B3E77FC" w14:textId="77777777" w:rsidR="00CE4F98" w:rsidRPr="00CE4F98" w:rsidRDefault="00CE4F98" w:rsidP="00CE4F98">
            <w:pPr>
              <w:pStyle w:val="Standard"/>
              <w:jc w:val="both"/>
              <w:rPr>
                <w:sz w:val="22"/>
              </w:rPr>
            </w:pPr>
          </w:p>
          <w:p w14:paraId="668DD35D" w14:textId="77777777" w:rsidR="00CE4F98" w:rsidRPr="00CE4F98" w:rsidRDefault="00CE4F98" w:rsidP="00CE4F98">
            <w:pPr>
              <w:pStyle w:val="Standard"/>
              <w:jc w:val="both"/>
              <w:rPr>
                <w:sz w:val="22"/>
              </w:rPr>
            </w:pPr>
            <w:r w:rsidRPr="00CE4F98">
              <w:rPr>
                <w:sz w:val="22"/>
              </w:rPr>
              <w:t>No dokumenta “informativi_kopsavilkums_varam_1311”:</w:t>
            </w:r>
          </w:p>
          <w:p w14:paraId="69F2884D" w14:textId="77777777" w:rsidR="00CE4F98" w:rsidRPr="00CE4F98" w:rsidRDefault="00CE4F98" w:rsidP="00CE4F98">
            <w:pPr>
              <w:pStyle w:val="Standard"/>
              <w:jc w:val="both"/>
              <w:rPr>
                <w:sz w:val="22"/>
              </w:rPr>
            </w:pPr>
            <w:r w:rsidRPr="00CE4F98">
              <w:rPr>
                <w:sz w:val="22"/>
              </w:rPr>
              <w:t>Būtiskākās attiecināmo izmaksu pozīcijas:</w:t>
            </w:r>
          </w:p>
          <w:p w14:paraId="1863D2EF" w14:textId="77777777" w:rsidR="00CE4F98" w:rsidRPr="00CE4F98" w:rsidRDefault="00CE4F98" w:rsidP="00CE4F98">
            <w:pPr>
              <w:pStyle w:val="Standard"/>
              <w:jc w:val="both"/>
              <w:rPr>
                <w:sz w:val="22"/>
              </w:rPr>
            </w:pPr>
            <w:r w:rsidRPr="00CE4F98">
              <w:rPr>
                <w:sz w:val="22"/>
              </w:rPr>
              <w:t>1)</w:t>
            </w:r>
            <w:r w:rsidRPr="00CE4F98">
              <w:rPr>
                <w:sz w:val="22"/>
              </w:rPr>
              <w:tab/>
              <w:t>projekta ieviešanas dokumentācijas izmaksas;</w:t>
            </w:r>
          </w:p>
          <w:p w14:paraId="489FCFF3" w14:textId="77777777" w:rsidR="00CE4F98" w:rsidRPr="00CE4F98" w:rsidRDefault="00CE4F98" w:rsidP="00CE4F98">
            <w:pPr>
              <w:pStyle w:val="Standard"/>
              <w:jc w:val="both"/>
              <w:rPr>
                <w:sz w:val="22"/>
              </w:rPr>
            </w:pPr>
            <w:r w:rsidRPr="00CE4F98">
              <w:rPr>
                <w:sz w:val="22"/>
              </w:rPr>
              <w:t>2)</w:t>
            </w:r>
            <w:r w:rsidRPr="00CE4F98">
              <w:rPr>
                <w:sz w:val="22"/>
              </w:rPr>
              <w:tab/>
              <w:t>jaunas informācijas sistēmas vai esošas informācijas sistēmas jaunas funkcionalitātes projektēšanas, izstrādes vai iegādes, nomas vai abonēšanas un datu pārvaldības ieviešanas izmaksas;</w:t>
            </w:r>
          </w:p>
          <w:p w14:paraId="35F96ECD" w14:textId="77777777" w:rsidR="00CE4F98" w:rsidRPr="00CE4F98" w:rsidRDefault="00CE4F98" w:rsidP="00CE4F98">
            <w:pPr>
              <w:pStyle w:val="Standard"/>
              <w:jc w:val="both"/>
              <w:rPr>
                <w:sz w:val="22"/>
              </w:rPr>
            </w:pPr>
            <w:r w:rsidRPr="00CE4F98">
              <w:rPr>
                <w:sz w:val="22"/>
              </w:rPr>
              <w:t>3)</w:t>
            </w:r>
            <w:r w:rsidRPr="00CE4F98">
              <w:rPr>
                <w:sz w:val="22"/>
              </w:rPr>
              <w:tab/>
              <w:t>IKT infrastruktūras pakalpojumu izmaksas projekta īstenošanas laikā;</w:t>
            </w:r>
          </w:p>
          <w:p w14:paraId="3D1C79ED" w14:textId="77777777" w:rsidR="00CE4F98" w:rsidRPr="00CE4F98" w:rsidRDefault="00CE4F98" w:rsidP="00CE4F98">
            <w:pPr>
              <w:pStyle w:val="Standard"/>
              <w:jc w:val="both"/>
              <w:rPr>
                <w:sz w:val="22"/>
              </w:rPr>
            </w:pPr>
            <w:r w:rsidRPr="00CE4F98">
              <w:rPr>
                <w:sz w:val="22"/>
              </w:rPr>
              <w:t>4)</w:t>
            </w:r>
            <w:r w:rsidRPr="00CE4F98">
              <w:rPr>
                <w:sz w:val="22"/>
              </w:rPr>
              <w:tab/>
              <w:t>datu centru un skaitļošanas infrastruktūras tehniskās infrastruktūras un tās darbināšanai nepieciešamās ražotāja sērijveida programmatūras iegādes izmaksas;</w:t>
            </w:r>
          </w:p>
          <w:p w14:paraId="087E4F92" w14:textId="77777777" w:rsidR="00CE4F98" w:rsidRPr="00CE4F98" w:rsidRDefault="00CE4F98" w:rsidP="00CE4F98">
            <w:pPr>
              <w:pStyle w:val="Standard"/>
              <w:jc w:val="both"/>
              <w:rPr>
                <w:sz w:val="22"/>
              </w:rPr>
            </w:pPr>
            <w:r w:rsidRPr="00CE4F98">
              <w:rPr>
                <w:sz w:val="22"/>
              </w:rPr>
              <w:t>5)</w:t>
            </w:r>
            <w:r w:rsidRPr="00CE4F98">
              <w:rPr>
                <w:sz w:val="22"/>
              </w:rPr>
              <w:tab/>
              <w:t>projekta ietvaros izveidoto vai pilnveidoto IKT risinājumu izmantošanas veicināšanas izmaksas;</w:t>
            </w:r>
          </w:p>
          <w:p w14:paraId="70BF38AD" w14:textId="77777777" w:rsidR="00CE4F98" w:rsidRPr="00CE4F98" w:rsidRDefault="00CE4F98" w:rsidP="00CE4F98">
            <w:pPr>
              <w:pStyle w:val="Standard"/>
              <w:jc w:val="both"/>
              <w:rPr>
                <w:sz w:val="22"/>
              </w:rPr>
            </w:pPr>
            <w:r w:rsidRPr="00CE4F98">
              <w:rPr>
                <w:sz w:val="22"/>
              </w:rPr>
              <w:t>6)</w:t>
            </w:r>
            <w:r w:rsidRPr="00CE4F98">
              <w:rPr>
                <w:sz w:val="22"/>
              </w:rPr>
              <w:tab/>
              <w:t>lietotāju vajadzību analīzes izmaksas;</w:t>
            </w:r>
          </w:p>
          <w:p w14:paraId="72EE3E3B" w14:textId="77777777" w:rsidR="00CE4F98" w:rsidRPr="00CE4F98" w:rsidRDefault="00CE4F98" w:rsidP="00CE4F98">
            <w:pPr>
              <w:pStyle w:val="Standard"/>
              <w:jc w:val="both"/>
              <w:rPr>
                <w:sz w:val="22"/>
              </w:rPr>
            </w:pPr>
            <w:r w:rsidRPr="00CE4F98">
              <w:rPr>
                <w:sz w:val="22"/>
              </w:rPr>
              <w:t>7)</w:t>
            </w:r>
            <w:r w:rsidRPr="00CE4F98">
              <w:rPr>
                <w:sz w:val="22"/>
              </w:rPr>
              <w:tab/>
              <w:t>IKT aparatūras un iekārtu iegādes izmaksas;</w:t>
            </w:r>
          </w:p>
          <w:p w14:paraId="38D6412A" w14:textId="77777777" w:rsidR="00CE4F98" w:rsidRPr="00CE4F98" w:rsidRDefault="00CE4F98" w:rsidP="00CE4F98">
            <w:pPr>
              <w:pStyle w:val="Standard"/>
              <w:jc w:val="both"/>
              <w:rPr>
                <w:sz w:val="22"/>
              </w:rPr>
            </w:pPr>
            <w:r w:rsidRPr="00CE4F98">
              <w:rPr>
                <w:sz w:val="22"/>
              </w:rPr>
              <w:t>8)</w:t>
            </w:r>
            <w:r w:rsidRPr="00CE4F98">
              <w:rPr>
                <w:sz w:val="22"/>
              </w:rPr>
              <w:tab/>
              <w:t>valsts pārvaldes jomu (domēnu) un attīstāmo risinājumu arhitektūru koordinēšanas un pārvaldības izmaksas (valsts IKT pārvaldības organizācijas (VARAM) projekta ietvaros);</w:t>
            </w:r>
          </w:p>
          <w:p w14:paraId="0E8EB91C" w14:textId="77777777" w:rsidR="00CE4F98" w:rsidRPr="00CE4F98" w:rsidRDefault="00CE4F98" w:rsidP="00CE4F98">
            <w:pPr>
              <w:pStyle w:val="Standard"/>
              <w:jc w:val="both"/>
              <w:rPr>
                <w:sz w:val="22"/>
              </w:rPr>
            </w:pPr>
            <w:r w:rsidRPr="00CE4F98">
              <w:rPr>
                <w:sz w:val="22"/>
              </w:rPr>
              <w:t>9)</w:t>
            </w:r>
            <w:r w:rsidRPr="00CE4F98">
              <w:rPr>
                <w:sz w:val="22"/>
              </w:rPr>
              <w:tab/>
              <w:t>projekta vadības un īstenošanas personāla atlīdzības izmaksas.</w:t>
            </w:r>
          </w:p>
          <w:p w14:paraId="14601A47" w14:textId="77777777" w:rsidR="00CE4F98" w:rsidRPr="00CE4F98" w:rsidRDefault="00CE4F98" w:rsidP="00CE4F98">
            <w:pPr>
              <w:pStyle w:val="Standard"/>
              <w:jc w:val="both"/>
              <w:rPr>
                <w:sz w:val="22"/>
              </w:rPr>
            </w:pPr>
          </w:p>
          <w:p w14:paraId="24414649" w14:textId="45DCC4A0" w:rsidR="00177D5B" w:rsidRPr="00CE4F98" w:rsidRDefault="00CE4F98" w:rsidP="00CE4F98">
            <w:pPr>
              <w:pStyle w:val="Standard"/>
              <w:jc w:val="both"/>
              <w:rPr>
                <w:rFonts w:cs="Times New Roman"/>
                <w:sz w:val="22"/>
              </w:rPr>
            </w:pPr>
            <w:r w:rsidRPr="00CE4F98">
              <w:rPr>
                <w:rFonts w:cs="Times New Roman"/>
                <w:sz w:val="22"/>
              </w:rPr>
              <w:lastRenderedPageBreak/>
              <w:t>Ja šis papildinājums netiek iekļauts, tad Mākslīgā Intelekta un citu progresīvo tehnoloģiju izmantošana no šī finansējuma avota nebūs iespējama līdz 2030.gadam un tā tam nevajadzētu būt.</w:t>
            </w:r>
          </w:p>
        </w:tc>
        <w:tc>
          <w:tcPr>
            <w:tcW w:w="2425" w:type="dxa"/>
          </w:tcPr>
          <w:p w14:paraId="746E1CCA" w14:textId="77777777" w:rsidR="00DA5DEF" w:rsidRPr="00DA5DEF" w:rsidRDefault="00DA5DEF" w:rsidP="00927884">
            <w:pPr>
              <w:jc w:val="both"/>
              <w:rPr>
                <w:rFonts w:eastAsiaTheme="minorHAnsi" w:cs="Times New Roman"/>
                <w:b/>
                <w:bCs/>
                <w:kern w:val="0"/>
                <w:sz w:val="22"/>
              </w:rPr>
            </w:pPr>
            <w:r w:rsidRPr="00DA5DEF">
              <w:rPr>
                <w:rFonts w:cs="Times New Roman"/>
                <w:b/>
                <w:bCs/>
                <w:sz w:val="22"/>
              </w:rPr>
              <w:lastRenderedPageBreak/>
              <w:t>Komentārs par MK noteikumiem</w:t>
            </w:r>
          </w:p>
          <w:p w14:paraId="3F5376D5" w14:textId="77777777" w:rsidR="00DA5DEF" w:rsidRPr="00DA5DEF" w:rsidRDefault="00DA5DEF" w:rsidP="00927884">
            <w:pPr>
              <w:jc w:val="both"/>
              <w:rPr>
                <w:rFonts w:cs="Times New Roman"/>
                <w:sz w:val="22"/>
              </w:rPr>
            </w:pPr>
            <w:r w:rsidRPr="00DA5DEF">
              <w:rPr>
                <w:rFonts w:cs="Times New Roman"/>
                <w:sz w:val="22"/>
              </w:rPr>
              <w:t>Latvijas Informācijas un komunikācijas tehnoloģijas asociācijas</w:t>
            </w:r>
          </w:p>
          <w:p w14:paraId="00029031" w14:textId="0EFF0B73" w:rsidR="00DA5DEF" w:rsidRPr="00DA5DEF" w:rsidRDefault="00DA5DEF" w:rsidP="00927884">
            <w:pPr>
              <w:jc w:val="both"/>
              <w:rPr>
                <w:rFonts w:cs="Times New Roman"/>
                <w:sz w:val="22"/>
              </w:rPr>
            </w:pPr>
            <w:r w:rsidRPr="00DA5DEF">
              <w:rPr>
                <w:rFonts w:cs="Times New Roman"/>
                <w:sz w:val="22"/>
              </w:rPr>
              <w:t xml:space="preserve"> komentārs attiecībā uz MK noteikumos iekļaujamajām attiecināmo izmaksu pozīcijām tiks izvērtēts MK noteikumu projekta (</w:t>
            </w:r>
            <w:hyperlink r:id="rId7" w:history="1">
              <w:r w:rsidRPr="003442BE">
                <w:rPr>
                  <w:rStyle w:val="Hyperlink"/>
                  <w:rFonts w:cs="Times New Roman"/>
                  <w:sz w:val="22"/>
                </w:rPr>
                <w:t>23-TA-2382</w:t>
              </w:r>
            </w:hyperlink>
            <w:r w:rsidRPr="00DA5DEF">
              <w:rPr>
                <w:rFonts w:cs="Times New Roman"/>
                <w:sz w:val="22"/>
              </w:rPr>
              <w:t>) saskaņošanas procesa ietvaros.</w:t>
            </w:r>
          </w:p>
          <w:p w14:paraId="77322759" w14:textId="7A009BCA" w:rsidR="00177D5B" w:rsidRPr="00CE4F98" w:rsidRDefault="00177D5B" w:rsidP="00DA5DEF">
            <w:pPr>
              <w:pStyle w:val="Standard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2438" w:type="dxa"/>
          </w:tcPr>
          <w:p w14:paraId="5A1C7073" w14:textId="66444F5B" w:rsidR="00177D5B" w:rsidRPr="00CE4F98" w:rsidRDefault="003442BE" w:rsidP="00177D5B">
            <w:pPr>
              <w:pStyle w:val="Standard"/>
              <w:jc w:val="both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Skat. precizēto kopsavilkumu.</w:t>
            </w:r>
          </w:p>
        </w:tc>
      </w:tr>
    </w:tbl>
    <w:p w14:paraId="4764F384" w14:textId="06DEDADC" w:rsidR="00A57181" w:rsidRDefault="00A57181" w:rsidP="00137F01">
      <w:pPr>
        <w:pStyle w:val="Standard"/>
        <w:shd w:val="clear" w:color="auto" w:fill="FFFFFF"/>
        <w:jc w:val="center"/>
        <w:rPr>
          <w:szCs w:val="24"/>
        </w:rPr>
      </w:pPr>
    </w:p>
    <w:p w14:paraId="46F21B0E" w14:textId="77777777" w:rsidR="00137F01" w:rsidRDefault="00137F01" w:rsidP="00137F01"/>
    <w:p w14:paraId="69EB424D" w14:textId="77777777" w:rsidR="0095483D" w:rsidRDefault="0095483D"/>
    <w:sectPr w:rsidR="0095483D" w:rsidSect="00A57181">
      <w:headerReference w:type="default" r:id="rId8"/>
      <w:footerReference w:type="default" r:id="rId9"/>
      <w:pgSz w:w="16838" w:h="11906" w:orient="landscape"/>
      <w:pgMar w:top="1134" w:right="1440" w:bottom="993" w:left="1440" w:header="708" w:footer="1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44E2A2" w14:textId="77777777" w:rsidR="002741F4" w:rsidRDefault="002741F4" w:rsidP="00137F01">
      <w:r>
        <w:separator/>
      </w:r>
    </w:p>
  </w:endnote>
  <w:endnote w:type="continuationSeparator" w:id="0">
    <w:p w14:paraId="1F60EFC7" w14:textId="77777777" w:rsidR="002741F4" w:rsidRDefault="002741F4" w:rsidP="00137F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254039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17C0BD6" w14:textId="412878A1" w:rsidR="00A57181" w:rsidRDefault="00A5718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F296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83E44C5" w14:textId="77777777" w:rsidR="003B1EF8" w:rsidRDefault="003B1E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698CF1" w14:textId="77777777" w:rsidR="002741F4" w:rsidRDefault="002741F4" w:rsidP="00137F01">
      <w:r>
        <w:separator/>
      </w:r>
    </w:p>
  </w:footnote>
  <w:footnote w:type="continuationSeparator" w:id="0">
    <w:p w14:paraId="6620B11E" w14:textId="77777777" w:rsidR="002741F4" w:rsidRDefault="002741F4" w:rsidP="00137F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4D089" w14:textId="0DB1BBAD" w:rsidR="003B1EF8" w:rsidRPr="00137F01" w:rsidRDefault="00177D5B" w:rsidP="00911740">
    <w:pPr>
      <w:pStyle w:val="Header"/>
      <w:jc w:val="right"/>
      <w:rPr>
        <w:rFonts w:cs="Times New Roman"/>
        <w:i/>
        <w:szCs w:val="24"/>
      </w:rPr>
    </w:pPr>
    <w:r>
      <w:rPr>
        <w:rFonts w:cs="Times New Roman"/>
        <w:i/>
        <w:szCs w:val="24"/>
      </w:rPr>
      <w:t>Aktualizēts</w:t>
    </w:r>
    <w:r w:rsidR="00A57181" w:rsidRPr="00137F01">
      <w:rPr>
        <w:rFonts w:cs="Times New Roman"/>
        <w:i/>
        <w:szCs w:val="24"/>
      </w:rPr>
      <w:t xml:space="preserve"> </w:t>
    </w:r>
    <w:sdt>
      <w:sdtPr>
        <w:rPr>
          <w:rFonts w:cs="Times New Roman"/>
          <w:i/>
          <w:szCs w:val="24"/>
        </w:rPr>
        <w:id w:val="133991113"/>
        <w:placeholder>
          <w:docPart w:val="DefaultPlaceholder_-1854013437"/>
        </w:placeholder>
        <w:date w:fullDate="2024-01-29T00:00:00Z">
          <w:dateFormat w:val="dd.MM.yyyy"/>
          <w:lid w:val="lv-LV"/>
          <w:storeMappedDataAs w:val="dateTime"/>
          <w:calendar w:val="gregorian"/>
        </w:date>
      </w:sdtPr>
      <w:sdtEndPr/>
      <w:sdtContent>
        <w:r w:rsidR="0063222A">
          <w:rPr>
            <w:rFonts w:cs="Times New Roman"/>
            <w:i/>
            <w:szCs w:val="24"/>
          </w:rPr>
          <w:t>29.01.2024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12A0A"/>
    <w:multiLevelType w:val="hybridMultilevel"/>
    <w:tmpl w:val="D810A02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E507D2"/>
    <w:multiLevelType w:val="hybridMultilevel"/>
    <w:tmpl w:val="7200F726"/>
    <w:lvl w:ilvl="0" w:tplc="3282FA42">
      <w:start w:val="8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DC042C"/>
    <w:multiLevelType w:val="hybridMultilevel"/>
    <w:tmpl w:val="8ED05C30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6A5972"/>
    <w:multiLevelType w:val="hybridMultilevel"/>
    <w:tmpl w:val="2248A70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744EC1"/>
    <w:multiLevelType w:val="hybridMultilevel"/>
    <w:tmpl w:val="A79449C8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1072324E">
      <w:start w:val="1"/>
      <w:numFmt w:val="lowerLetter"/>
      <w:lvlText w:val="%2)"/>
      <w:lvlJc w:val="left"/>
      <w:pPr>
        <w:ind w:left="1440" w:hanging="360"/>
      </w:pPr>
      <w:rPr>
        <w:rFonts w:ascii="Calibri" w:eastAsia="Calibri" w:hAnsi="Calibri" w:cs="Times New Roman"/>
        <w:b w:val="0"/>
      </w:r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3C7F74"/>
    <w:multiLevelType w:val="hybridMultilevel"/>
    <w:tmpl w:val="18500E1E"/>
    <w:lvl w:ilvl="0" w:tplc="D6C6FF88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6F930FB"/>
    <w:multiLevelType w:val="hybridMultilevel"/>
    <w:tmpl w:val="8C56354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FB0711"/>
    <w:multiLevelType w:val="hybridMultilevel"/>
    <w:tmpl w:val="698EF84C"/>
    <w:lvl w:ilvl="0" w:tplc="9A38D6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207A07"/>
    <w:multiLevelType w:val="hybridMultilevel"/>
    <w:tmpl w:val="C6F4F66E"/>
    <w:lvl w:ilvl="0" w:tplc="7ECCF8FE">
      <w:start w:val="1"/>
      <w:numFmt w:val="decimal"/>
      <w:lvlText w:val="%1)"/>
      <w:lvlJc w:val="left"/>
      <w:pPr>
        <w:ind w:left="1080" w:hanging="360"/>
      </w:p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B4850F6"/>
    <w:multiLevelType w:val="hybridMultilevel"/>
    <w:tmpl w:val="4630107A"/>
    <w:lvl w:ilvl="0" w:tplc="0426000B">
      <w:start w:val="1"/>
      <w:numFmt w:val="bullet"/>
      <w:lvlText w:val=""/>
      <w:lvlJc w:val="left"/>
      <w:pPr>
        <w:ind w:left="733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53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73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93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13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33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53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73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93" w:hanging="360"/>
      </w:pPr>
      <w:rPr>
        <w:rFonts w:ascii="Wingdings" w:hAnsi="Wingdings" w:hint="default"/>
      </w:rPr>
    </w:lvl>
  </w:abstractNum>
  <w:abstractNum w:abstractNumId="10" w15:restartNumberingAfterBreak="0">
    <w:nsid w:val="4D796315"/>
    <w:multiLevelType w:val="hybridMultilevel"/>
    <w:tmpl w:val="A9CA2ECE"/>
    <w:lvl w:ilvl="0" w:tplc="9A38D6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3EE3F35"/>
    <w:multiLevelType w:val="hybridMultilevel"/>
    <w:tmpl w:val="29F4F4B2"/>
    <w:lvl w:ilvl="0" w:tplc="F8AC7EAE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813184320">
    <w:abstractNumId w:val="5"/>
  </w:num>
  <w:num w:numId="2" w16cid:durableId="213636385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9244596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4079075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19454224">
    <w:abstractNumId w:val="9"/>
  </w:num>
  <w:num w:numId="6" w16cid:durableId="966812223">
    <w:abstractNumId w:val="1"/>
  </w:num>
  <w:num w:numId="7" w16cid:durableId="3998130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932346613">
    <w:abstractNumId w:val="4"/>
  </w:num>
  <w:num w:numId="9" w16cid:durableId="189926019">
    <w:abstractNumId w:val="6"/>
  </w:num>
  <w:num w:numId="10" w16cid:durableId="1767379387">
    <w:abstractNumId w:val="0"/>
  </w:num>
  <w:num w:numId="11" w16cid:durableId="486557954">
    <w:abstractNumId w:val="3"/>
  </w:num>
  <w:num w:numId="12" w16cid:durableId="2138445622">
    <w:abstractNumId w:val="10"/>
  </w:num>
  <w:num w:numId="13" w16cid:durableId="163263527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7F01"/>
    <w:rsid w:val="00023754"/>
    <w:rsid w:val="00137F01"/>
    <w:rsid w:val="00177D5B"/>
    <w:rsid w:val="002741F4"/>
    <w:rsid w:val="003442BE"/>
    <w:rsid w:val="003B1EF8"/>
    <w:rsid w:val="003F16D6"/>
    <w:rsid w:val="0063222A"/>
    <w:rsid w:val="00927884"/>
    <w:rsid w:val="0095483D"/>
    <w:rsid w:val="00A57181"/>
    <w:rsid w:val="00B55104"/>
    <w:rsid w:val="00BA461D"/>
    <w:rsid w:val="00CE4F98"/>
    <w:rsid w:val="00CF2966"/>
    <w:rsid w:val="00DA5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D9704F"/>
  <w15:chartTrackingRefBased/>
  <w15:docId w15:val="{FE1474CF-4EA2-479A-B552-19F31A479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"/>
        <w:sz w:val="24"/>
        <w:szCs w:val="24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7F01"/>
    <w:pPr>
      <w:widowControl w:val="0"/>
      <w:suppressAutoHyphens/>
      <w:autoSpaceDN w:val="0"/>
      <w:spacing w:after="0" w:line="240" w:lineRule="auto"/>
      <w:textAlignment w:val="baseline"/>
    </w:pPr>
    <w:rPr>
      <w:rFonts w:eastAsia="SimSun" w:cs="F"/>
      <w:kern w:val="3"/>
      <w:szCs w:val="22"/>
      <w14:ligatures w14:val="none"/>
    </w:rPr>
  </w:style>
  <w:style w:type="paragraph" w:styleId="Heading1">
    <w:name w:val="heading 1"/>
    <w:next w:val="Normal"/>
    <w:link w:val="Heading1Char"/>
    <w:qFormat/>
    <w:rsid w:val="00137F01"/>
    <w:pPr>
      <w:keepNext/>
      <w:spacing w:after="0" w:line="240" w:lineRule="auto"/>
      <w:outlineLvl w:val="0"/>
    </w:pPr>
    <w:rPr>
      <w:rFonts w:ascii="Helvetica" w:eastAsia="ヒラギノ角ゴ Pro W3" w:hAnsi="Helvetica"/>
      <w:b/>
      <w:color w:val="000000"/>
      <w:kern w:val="0"/>
      <w:sz w:val="36"/>
      <w:szCs w:val="20"/>
      <w:lang w:val="en-US" w:eastAsia="lv-LV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37F01"/>
    <w:rPr>
      <w:rFonts w:ascii="Helvetica" w:eastAsia="ヒラギノ角ゴ Pro W3" w:hAnsi="Helvetica"/>
      <w:b/>
      <w:color w:val="000000"/>
      <w:kern w:val="0"/>
      <w:sz w:val="36"/>
      <w:szCs w:val="20"/>
      <w:lang w:val="en-US" w:eastAsia="lv-LV"/>
      <w14:ligatures w14:val="none"/>
    </w:rPr>
  </w:style>
  <w:style w:type="paragraph" w:customStyle="1" w:styleId="Standard">
    <w:name w:val="Standard"/>
    <w:rsid w:val="00137F01"/>
    <w:pPr>
      <w:suppressAutoHyphens/>
      <w:autoSpaceDN w:val="0"/>
      <w:spacing w:after="0" w:line="240" w:lineRule="auto"/>
      <w:textAlignment w:val="baseline"/>
    </w:pPr>
    <w:rPr>
      <w:rFonts w:eastAsia="Calibri"/>
      <w:kern w:val="3"/>
      <w:szCs w:val="22"/>
      <w14:ligatures w14:val="none"/>
    </w:rPr>
  </w:style>
  <w:style w:type="paragraph" w:styleId="ListParagraph">
    <w:name w:val="List Paragraph"/>
    <w:aliases w:val="H&amp;P List Paragraph,2,Strip,Saraksta rindkopa1,Normal bullet 2,Bullet list,List Paragraph1"/>
    <w:basedOn w:val="Standard"/>
    <w:link w:val="ListParagraphChar"/>
    <w:uiPriority w:val="34"/>
    <w:qFormat/>
    <w:rsid w:val="00137F01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137F0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7F01"/>
    <w:rPr>
      <w:rFonts w:eastAsia="SimSun" w:cs="F"/>
      <w:kern w:val="3"/>
      <w:szCs w:val="22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137F0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7F01"/>
    <w:rPr>
      <w:rFonts w:eastAsia="SimSun" w:cs="F"/>
      <w:kern w:val="3"/>
      <w:szCs w:val="22"/>
      <w14:ligatures w14:val="none"/>
    </w:rPr>
  </w:style>
  <w:style w:type="character" w:styleId="CommentReference">
    <w:name w:val="annotation reference"/>
    <w:basedOn w:val="DefaultParagraphFont"/>
    <w:uiPriority w:val="99"/>
    <w:semiHidden/>
    <w:unhideWhenUsed/>
    <w:rsid w:val="00137F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37F0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37F01"/>
    <w:rPr>
      <w:rFonts w:eastAsia="SimSun" w:cs="F"/>
      <w:kern w:val="3"/>
      <w:sz w:val="20"/>
      <w:szCs w:val="20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7F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7F01"/>
    <w:rPr>
      <w:rFonts w:eastAsia="SimSun" w:cs="F"/>
      <w:b/>
      <w:bCs/>
      <w:kern w:val="3"/>
      <w:sz w:val="20"/>
      <w:szCs w:val="20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7F0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F01"/>
    <w:rPr>
      <w:rFonts w:ascii="Segoe UI" w:eastAsia="SimSun" w:hAnsi="Segoe UI" w:cs="Segoe UI"/>
      <w:kern w:val="3"/>
      <w:sz w:val="18"/>
      <w:szCs w:val="18"/>
      <w14:ligatures w14:val="none"/>
    </w:rPr>
  </w:style>
  <w:style w:type="character" w:styleId="Hyperlink">
    <w:name w:val="Hyperlink"/>
    <w:basedOn w:val="DefaultParagraphFont"/>
    <w:uiPriority w:val="99"/>
    <w:unhideWhenUsed/>
    <w:rsid w:val="00137F01"/>
    <w:rPr>
      <w:color w:val="0563C1"/>
      <w:u w:val="single"/>
    </w:rPr>
  </w:style>
  <w:style w:type="character" w:customStyle="1" w:styleId="NoteikumutekstamRakstz">
    <w:name w:val="Noteikumu tekstam Rakstz."/>
    <w:basedOn w:val="DefaultParagraphFont"/>
    <w:link w:val="Noteikumutekstam"/>
    <w:locked/>
    <w:rsid w:val="00137F01"/>
  </w:style>
  <w:style w:type="paragraph" w:customStyle="1" w:styleId="Noteikumutekstam">
    <w:name w:val="Noteikumu tekstam"/>
    <w:basedOn w:val="Normal"/>
    <w:link w:val="NoteikumutekstamRakstz"/>
    <w:rsid w:val="00137F01"/>
    <w:pPr>
      <w:widowControl/>
      <w:suppressAutoHyphens w:val="0"/>
      <w:autoSpaceDN/>
      <w:spacing w:line="276" w:lineRule="auto"/>
      <w:ind w:left="41"/>
      <w:jc w:val="both"/>
      <w:textAlignment w:val="auto"/>
    </w:pPr>
    <w:rPr>
      <w:rFonts w:eastAsiaTheme="minorHAnsi" w:cs="Times New Roman"/>
      <w:kern w:val="2"/>
      <w:szCs w:val="24"/>
      <w14:ligatures w14:val="standardContextual"/>
    </w:rPr>
  </w:style>
  <w:style w:type="paragraph" w:styleId="NoSpacing">
    <w:name w:val="No Spacing"/>
    <w:basedOn w:val="Normal"/>
    <w:uiPriority w:val="1"/>
    <w:qFormat/>
    <w:rsid w:val="00137F01"/>
    <w:pPr>
      <w:widowControl/>
      <w:suppressAutoHyphens w:val="0"/>
      <w:autoSpaceDN/>
      <w:textAlignment w:val="auto"/>
    </w:pPr>
    <w:rPr>
      <w:rFonts w:ascii="Calibri" w:eastAsiaTheme="minorHAnsi" w:hAnsi="Calibri" w:cs="Calibri"/>
      <w:color w:val="000000"/>
      <w:kern w:val="0"/>
      <w:sz w:val="22"/>
    </w:rPr>
  </w:style>
  <w:style w:type="table" w:styleId="TableGrid">
    <w:name w:val="Table Grid"/>
    <w:basedOn w:val="TableNormal"/>
    <w:uiPriority w:val="39"/>
    <w:rsid w:val="00137F01"/>
    <w:pPr>
      <w:spacing w:after="0" w:line="240" w:lineRule="auto"/>
    </w:pPr>
    <w:rPr>
      <w:rFonts w:cstheme="minorBidi"/>
      <w:kern w:val="0"/>
      <w:szCs w:val="22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H&amp;P List Paragraph Char,2 Char,Strip Char,Saraksta rindkopa1 Char,Normal bullet 2 Char,Bullet list Char,List Paragraph1 Char"/>
    <w:basedOn w:val="DefaultParagraphFont"/>
    <w:link w:val="ListParagraph"/>
    <w:uiPriority w:val="34"/>
    <w:locked/>
    <w:rsid w:val="00137F01"/>
    <w:rPr>
      <w:rFonts w:eastAsia="Calibri"/>
      <w:kern w:val="3"/>
      <w:szCs w:val="22"/>
      <w14:ligatures w14:val="none"/>
    </w:rPr>
  </w:style>
  <w:style w:type="paragraph" w:customStyle="1" w:styleId="Default">
    <w:name w:val="Default"/>
    <w:basedOn w:val="Normal"/>
    <w:rsid w:val="00137F01"/>
    <w:pPr>
      <w:widowControl/>
      <w:suppressAutoHyphens w:val="0"/>
      <w:autoSpaceDE w:val="0"/>
      <w:textAlignment w:val="auto"/>
    </w:pPr>
    <w:rPr>
      <w:rFonts w:eastAsiaTheme="minorHAnsi" w:cs="Times New Roman"/>
      <w:color w:val="000000"/>
      <w:kern w:val="0"/>
      <w:szCs w:val="24"/>
      <w:lang w:eastAsia="lv-LV"/>
    </w:rPr>
  </w:style>
  <w:style w:type="character" w:styleId="PlaceholderText">
    <w:name w:val="Placeholder Text"/>
    <w:basedOn w:val="DefaultParagraphFont"/>
    <w:uiPriority w:val="99"/>
    <w:semiHidden/>
    <w:rsid w:val="00137F01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3442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236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yperlink" Target="https://tapportals.mk.gov.lv/legal_acts/6f6ba61f-708d-4c5a-85b2-3f77f08ec3b8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7C24F7-D642-4892-A3BC-58B100C9FEA4}"/>
      </w:docPartPr>
      <w:docPartBody>
        <w:p w:rsidR="001375A0" w:rsidRDefault="00F14914">
          <w:r w:rsidRPr="00A028AF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4914"/>
    <w:rsid w:val="001375A0"/>
    <w:rsid w:val="00994E0D"/>
    <w:rsid w:val="00DA51A3"/>
    <w:rsid w:val="00F14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1491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E433AEC60C4E504E90DC491E27C910DB" ma:contentTypeVersion="18" ma:contentTypeDescription="Izveidot jaunu dokumentu." ma:contentTypeScope="" ma:versionID="4e5e1571dcf83e6784ce3fd1521973cf">
  <xsd:schema xmlns:xsd="http://www.w3.org/2001/XMLSchema" xmlns:xs="http://www.w3.org/2001/XMLSchema" xmlns:p="http://schemas.microsoft.com/office/2006/metadata/properties" xmlns:ns2="071870c0-76d0-405c-8f5a-8c5a6110650f" xmlns:ns3="97ad5a38-d7de-4b51-9c9d-6f1c61b32969" targetNamespace="http://schemas.microsoft.com/office/2006/metadata/properties" ma:root="true" ma:fieldsID="b7572d86d6a902072d313ea9ff73516b" ns2:_="" ns3:_="">
    <xsd:import namespace="071870c0-76d0-405c-8f5a-8c5a6110650f"/>
    <xsd:import namespace="97ad5a38-d7de-4b51-9c9d-6f1c61b329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1870c0-76d0-405c-8f5a-8c5a611065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Attēlu atzīmes" ma:readOnly="false" ma:fieldId="{5cf76f15-5ced-4ddc-b409-7134ff3c332f}" ma:taxonomyMulti="true" ma:sspId="550e1e53-5410-4bdb-8c8a-c3d0be1f470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Location" ma:index="25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ad5a38-d7de-4b51-9c9d-6f1c61b3296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9adec27-2729-43c5-a5e2-722e95714ac8}" ma:internalName="TaxCatchAll" ma:showField="CatchAllData" ma:web="97ad5a38-d7de-4b51-9c9d-6f1c61b329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7ad5a38-d7de-4b51-9c9d-6f1c61b32969" xsi:nil="true"/>
    <lcf76f155ced4ddcb4097134ff3c332f xmlns="071870c0-76d0-405c-8f5a-8c5a6110650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462F298-9801-475C-BF0D-29AC99E0CFF6}"/>
</file>

<file path=customXml/itemProps2.xml><?xml version="1.0" encoding="utf-8"?>
<ds:datastoreItem xmlns:ds="http://schemas.openxmlformats.org/officeDocument/2006/customXml" ds:itemID="{B04544B9-B6E6-40B7-874C-23708C8B03D8}"/>
</file>

<file path=customXml/itemProps3.xml><?xml version="1.0" encoding="utf-8"?>
<ds:datastoreItem xmlns:ds="http://schemas.openxmlformats.org/officeDocument/2006/customXml" ds:itemID="{961FCFCA-3550-4D01-BBC9-7903F1257CFF}"/>
</file>

<file path=docMetadata/LabelInfo.xml><?xml version="1.0" encoding="utf-8"?>
<clbl:labelList xmlns:clbl="http://schemas.microsoft.com/office/2020/mipLabelMetadata">
  <clbl:label id="{1b8a7570-3ec8-4c4e-9532-5dbb2f157b31}" enabled="1" method="Standard" siteId="{fd50a0e4-c289-4266-b7ff-7d9cf5066e91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1449</Words>
  <Characters>826</Characters>
  <Application>Microsoft Office Word</Application>
  <DocSecurity>0</DocSecurity>
  <Lines>6</Lines>
  <Paragraphs>4</Paragraphs>
  <ScaleCrop>false</ScaleCrop>
  <Company/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Liene Dzelzkalēja</dc:creator>
  <cp:keywords/>
  <dc:description/>
  <cp:lastModifiedBy>Ieva Briņķe</cp:lastModifiedBy>
  <cp:revision>4</cp:revision>
  <dcterms:created xsi:type="dcterms:W3CDTF">2024-02-02T07:47:00Z</dcterms:created>
  <dcterms:modified xsi:type="dcterms:W3CDTF">2024-02-02T07:51:00Z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0x010100E433AEC60C4E504E90DC491E27C910DB</vt:lpwstr>
  </property>
</Properties>
</file>