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12ACC" w14:textId="1FEC927F" w:rsidR="00137F01" w:rsidRPr="00A57181" w:rsidRDefault="00137F01" w:rsidP="00B55104">
      <w:pPr>
        <w:pStyle w:val="Standard"/>
        <w:jc w:val="center"/>
        <w:rPr>
          <w:b/>
          <w:szCs w:val="24"/>
        </w:rPr>
      </w:pPr>
      <w:r w:rsidRPr="00A57181">
        <w:rPr>
          <w:b/>
          <w:szCs w:val="24"/>
        </w:rPr>
        <w:t xml:space="preserve">Izziņa ar saņemtajiem komentāriem par </w:t>
      </w:r>
      <w:r w:rsidR="00CF2966">
        <w:rPr>
          <w:b/>
          <w:szCs w:val="24"/>
        </w:rPr>
        <w:t>ES</w:t>
      </w:r>
      <w:r w:rsidRPr="00A57181">
        <w:rPr>
          <w:b/>
          <w:szCs w:val="24"/>
        </w:rPr>
        <w:t xml:space="preserve"> fondu 2021.–2027.gada plānošanas perioda </w:t>
      </w:r>
      <w:r w:rsidR="00B55104">
        <w:rPr>
          <w:b/>
          <w:szCs w:val="24"/>
        </w:rPr>
        <w:t xml:space="preserve">Uzraudzības komitejas rakstiskajā procedūrā </w:t>
      </w:r>
      <w:r w:rsidRPr="00A57181">
        <w:rPr>
          <w:b/>
          <w:szCs w:val="24"/>
        </w:rPr>
        <w:t xml:space="preserve">izskatāmajiem </w:t>
      </w:r>
      <w:r w:rsidR="00934915">
        <w:rPr>
          <w:b/>
          <w:szCs w:val="24"/>
        </w:rPr>
        <w:t>Vides aizsardzības un reģionālās attīstības</w:t>
      </w:r>
      <w:r w:rsidR="00A57181" w:rsidRPr="00A57181">
        <w:rPr>
          <w:b/>
          <w:szCs w:val="24"/>
        </w:rPr>
        <w:t xml:space="preserve"> ministrijas </w:t>
      </w:r>
      <w:r w:rsidR="00934915" w:rsidRPr="00934915">
        <w:rPr>
          <w:b/>
          <w:szCs w:val="24"/>
        </w:rPr>
        <w:t xml:space="preserve">2.2.2. specifiskā atbalsta mērķa “Pārejas uz aprites ekonomiku veicināšana” 2.2.2.2. pasākuma “Atkritumu dalītā vākšana” </w:t>
      </w:r>
      <w:r w:rsidR="0084203B">
        <w:rPr>
          <w:b/>
          <w:szCs w:val="24"/>
        </w:rPr>
        <w:t>2</w:t>
      </w:r>
      <w:r w:rsidR="00934915">
        <w:rPr>
          <w:b/>
          <w:szCs w:val="24"/>
        </w:rPr>
        <w:t xml:space="preserve">.kārtas </w:t>
      </w:r>
      <w:r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TableGrid"/>
        <w:tblW w:w="0" w:type="auto"/>
        <w:tblLook w:val="04A0" w:firstRow="1" w:lastRow="0" w:firstColumn="1" w:lastColumn="0" w:noHBand="0" w:noVBand="1"/>
      </w:tblPr>
      <w:tblGrid>
        <w:gridCol w:w="562"/>
        <w:gridCol w:w="1701"/>
        <w:gridCol w:w="5529"/>
        <w:gridCol w:w="3366"/>
        <w:gridCol w:w="2790"/>
      </w:tblGrid>
      <w:tr w:rsidR="00A57181" w:rsidRPr="00A57181" w14:paraId="1DC85C06" w14:textId="77777777" w:rsidTr="0043670F">
        <w:tc>
          <w:tcPr>
            <w:tcW w:w="562" w:type="dxa"/>
          </w:tcPr>
          <w:p w14:paraId="4BB141E3" w14:textId="76725B81" w:rsidR="00A57181" w:rsidRPr="00A57181" w:rsidRDefault="00A57181" w:rsidP="00137F01">
            <w:pPr>
              <w:pStyle w:val="Standard"/>
              <w:jc w:val="center"/>
              <w:rPr>
                <w:b/>
                <w:bCs/>
                <w:szCs w:val="24"/>
              </w:rPr>
            </w:pPr>
            <w:r w:rsidRPr="00A57181">
              <w:rPr>
                <w:b/>
                <w:bCs/>
                <w:szCs w:val="24"/>
              </w:rPr>
              <w:t>Nr.</w:t>
            </w:r>
          </w:p>
        </w:tc>
        <w:tc>
          <w:tcPr>
            <w:tcW w:w="1701" w:type="dxa"/>
          </w:tcPr>
          <w:p w14:paraId="6A3984BE" w14:textId="1C6C92FE" w:rsidR="00A57181" w:rsidRPr="00A57181" w:rsidRDefault="00A57181" w:rsidP="00137F01">
            <w:pPr>
              <w:pStyle w:val="Standard"/>
              <w:jc w:val="center"/>
              <w:rPr>
                <w:b/>
                <w:bCs/>
                <w:szCs w:val="24"/>
              </w:rPr>
            </w:pPr>
            <w:r w:rsidRPr="00A57181">
              <w:rPr>
                <w:b/>
                <w:bCs/>
                <w:szCs w:val="24"/>
              </w:rPr>
              <w:t>Materiālu esošā redakcija</w:t>
            </w:r>
          </w:p>
        </w:tc>
        <w:tc>
          <w:tcPr>
            <w:tcW w:w="5529" w:type="dxa"/>
          </w:tcPr>
          <w:p w14:paraId="3BA660B7" w14:textId="0CE7339B" w:rsidR="00A57181" w:rsidRPr="00A57181" w:rsidRDefault="003B1EF8" w:rsidP="00A57181">
            <w:pPr>
              <w:pStyle w:val="Standard"/>
              <w:jc w:val="center"/>
              <w:rPr>
                <w:b/>
                <w:bCs/>
                <w:szCs w:val="24"/>
              </w:rPr>
            </w:pPr>
            <w:r>
              <w:rPr>
                <w:b/>
                <w:bCs/>
                <w:szCs w:val="24"/>
              </w:rPr>
              <w:t>U</w:t>
            </w:r>
            <w:r w:rsidR="00A57181" w:rsidRPr="00A57181">
              <w:rPr>
                <w:b/>
                <w:bCs/>
                <w:szCs w:val="24"/>
              </w:rPr>
              <w:t>K dalībnieka komentārs</w:t>
            </w:r>
          </w:p>
        </w:tc>
        <w:tc>
          <w:tcPr>
            <w:tcW w:w="3366" w:type="dxa"/>
          </w:tcPr>
          <w:p w14:paraId="78D91156" w14:textId="52B5B91F" w:rsidR="00A57181" w:rsidRPr="00A57181" w:rsidRDefault="00A57181" w:rsidP="00137F01">
            <w:pPr>
              <w:pStyle w:val="Standard"/>
              <w:jc w:val="center"/>
              <w:rPr>
                <w:b/>
                <w:bCs/>
                <w:szCs w:val="24"/>
              </w:rPr>
            </w:pPr>
            <w:r w:rsidRPr="00A57181">
              <w:rPr>
                <w:b/>
                <w:bCs/>
                <w:szCs w:val="24"/>
              </w:rPr>
              <w:t>AI viedoklis</w:t>
            </w:r>
          </w:p>
        </w:tc>
        <w:tc>
          <w:tcPr>
            <w:tcW w:w="2790" w:type="dxa"/>
          </w:tcPr>
          <w:p w14:paraId="3A7B0DAC" w14:textId="0C266D42" w:rsidR="00A57181" w:rsidRPr="00A57181" w:rsidRDefault="00A57181" w:rsidP="00137F01">
            <w:pPr>
              <w:pStyle w:val="Standard"/>
              <w:jc w:val="center"/>
              <w:rPr>
                <w:b/>
                <w:bCs/>
                <w:szCs w:val="24"/>
              </w:rPr>
            </w:pPr>
            <w:r w:rsidRPr="00A57181">
              <w:rPr>
                <w:b/>
                <w:bCs/>
                <w:szCs w:val="24"/>
              </w:rPr>
              <w:t>Gala redakcija</w:t>
            </w:r>
          </w:p>
        </w:tc>
      </w:tr>
      <w:tr w:rsidR="00A57181" w:rsidRPr="00A57181" w14:paraId="380416C8" w14:textId="77777777" w:rsidTr="0043670F">
        <w:tc>
          <w:tcPr>
            <w:tcW w:w="562" w:type="dxa"/>
          </w:tcPr>
          <w:p w14:paraId="2A7F122C" w14:textId="77777777" w:rsidR="00A57181" w:rsidRPr="00A57181" w:rsidRDefault="00A57181" w:rsidP="00137F01">
            <w:pPr>
              <w:pStyle w:val="Standard"/>
              <w:jc w:val="center"/>
              <w:rPr>
                <w:b/>
                <w:bCs/>
                <w:szCs w:val="24"/>
              </w:rPr>
            </w:pPr>
          </w:p>
        </w:tc>
        <w:tc>
          <w:tcPr>
            <w:tcW w:w="1701" w:type="dxa"/>
          </w:tcPr>
          <w:p w14:paraId="67E8DA1B" w14:textId="393A3207" w:rsidR="00A57181" w:rsidRPr="00A57181" w:rsidRDefault="00A57181" w:rsidP="00137F01">
            <w:pPr>
              <w:pStyle w:val="Standard"/>
              <w:jc w:val="center"/>
              <w:rPr>
                <w:b/>
                <w:bCs/>
                <w:szCs w:val="24"/>
              </w:rPr>
            </w:pPr>
            <w:r>
              <w:rPr>
                <w:b/>
                <w:bCs/>
                <w:szCs w:val="24"/>
              </w:rPr>
              <w:t>1</w:t>
            </w:r>
          </w:p>
        </w:tc>
        <w:tc>
          <w:tcPr>
            <w:tcW w:w="5529" w:type="dxa"/>
          </w:tcPr>
          <w:p w14:paraId="6B041985" w14:textId="089E011A" w:rsidR="00A57181" w:rsidRPr="00A57181" w:rsidRDefault="00A57181" w:rsidP="00137F01">
            <w:pPr>
              <w:pStyle w:val="Standard"/>
              <w:jc w:val="center"/>
              <w:rPr>
                <w:b/>
                <w:bCs/>
                <w:szCs w:val="24"/>
              </w:rPr>
            </w:pPr>
            <w:r>
              <w:rPr>
                <w:b/>
                <w:bCs/>
                <w:szCs w:val="24"/>
              </w:rPr>
              <w:t>2</w:t>
            </w:r>
          </w:p>
        </w:tc>
        <w:tc>
          <w:tcPr>
            <w:tcW w:w="3366" w:type="dxa"/>
          </w:tcPr>
          <w:p w14:paraId="1753E9BF" w14:textId="309CEBA8" w:rsidR="00A57181" w:rsidRPr="00A57181" w:rsidRDefault="00A57181" w:rsidP="00137F01">
            <w:pPr>
              <w:pStyle w:val="Standard"/>
              <w:jc w:val="center"/>
              <w:rPr>
                <w:b/>
                <w:bCs/>
                <w:szCs w:val="24"/>
              </w:rPr>
            </w:pPr>
            <w:r>
              <w:rPr>
                <w:b/>
                <w:bCs/>
                <w:szCs w:val="24"/>
              </w:rPr>
              <w:t>3</w:t>
            </w:r>
          </w:p>
        </w:tc>
        <w:tc>
          <w:tcPr>
            <w:tcW w:w="2790" w:type="dxa"/>
          </w:tcPr>
          <w:p w14:paraId="093B038E" w14:textId="0F096221" w:rsidR="00A57181" w:rsidRPr="00A57181" w:rsidRDefault="00A57181" w:rsidP="00137F01">
            <w:pPr>
              <w:pStyle w:val="Standard"/>
              <w:jc w:val="center"/>
              <w:rPr>
                <w:b/>
                <w:bCs/>
                <w:szCs w:val="24"/>
              </w:rPr>
            </w:pPr>
            <w:r>
              <w:rPr>
                <w:b/>
                <w:bCs/>
                <w:szCs w:val="24"/>
              </w:rPr>
              <w:t>3</w:t>
            </w:r>
          </w:p>
        </w:tc>
      </w:tr>
      <w:tr w:rsidR="00A57181" w14:paraId="5F51158A" w14:textId="77777777" w:rsidTr="00A742FD">
        <w:tc>
          <w:tcPr>
            <w:tcW w:w="13948" w:type="dxa"/>
            <w:gridSpan w:val="5"/>
            <w:shd w:val="clear" w:color="auto" w:fill="C5E0B3" w:themeFill="accent6" w:themeFillTint="66"/>
          </w:tcPr>
          <w:p w14:paraId="5E6EE4EC" w14:textId="30665F84" w:rsidR="00A57181" w:rsidRPr="00A57181" w:rsidRDefault="00A57181" w:rsidP="00A57181">
            <w:pPr>
              <w:pStyle w:val="Standard"/>
              <w:jc w:val="both"/>
              <w:rPr>
                <w:b/>
                <w:bCs/>
                <w:szCs w:val="24"/>
              </w:rPr>
            </w:pPr>
            <w:r w:rsidRPr="00A57181">
              <w:rPr>
                <w:b/>
                <w:bCs/>
                <w:szCs w:val="24"/>
              </w:rPr>
              <w:t>Par projektu iesniegumu vērtēšanas kritērijiem</w:t>
            </w:r>
          </w:p>
        </w:tc>
      </w:tr>
      <w:tr w:rsidR="00A57181" w14:paraId="6D4B6E25" w14:textId="77777777" w:rsidTr="0043670F">
        <w:tc>
          <w:tcPr>
            <w:tcW w:w="562" w:type="dxa"/>
          </w:tcPr>
          <w:p w14:paraId="44B426E0" w14:textId="77777777" w:rsidR="00A57181" w:rsidRDefault="00A57181" w:rsidP="00A57181">
            <w:pPr>
              <w:pStyle w:val="Standard"/>
              <w:numPr>
                <w:ilvl w:val="0"/>
                <w:numId w:val="13"/>
              </w:numPr>
              <w:ind w:hanging="1049"/>
              <w:jc w:val="center"/>
              <w:rPr>
                <w:szCs w:val="24"/>
              </w:rPr>
            </w:pPr>
          </w:p>
        </w:tc>
        <w:tc>
          <w:tcPr>
            <w:tcW w:w="1701" w:type="dxa"/>
          </w:tcPr>
          <w:p w14:paraId="4E442DC0" w14:textId="3380BD10" w:rsidR="00A57181" w:rsidRPr="00177D5B" w:rsidRDefault="00934915" w:rsidP="00177D5B">
            <w:pPr>
              <w:pStyle w:val="Standard"/>
              <w:jc w:val="both"/>
              <w:rPr>
                <w:b/>
                <w:bCs/>
                <w:szCs w:val="24"/>
              </w:rPr>
            </w:pPr>
            <w:r>
              <w:rPr>
                <w:b/>
                <w:bCs/>
                <w:szCs w:val="24"/>
              </w:rPr>
              <w:t>Kritērijs Nr. 3.3.</w:t>
            </w:r>
          </w:p>
        </w:tc>
        <w:tc>
          <w:tcPr>
            <w:tcW w:w="5529" w:type="dxa"/>
          </w:tcPr>
          <w:p w14:paraId="162669BF" w14:textId="77777777" w:rsidR="00A57181" w:rsidRPr="00934915" w:rsidRDefault="00934915" w:rsidP="00177D5B">
            <w:pPr>
              <w:pStyle w:val="Standard"/>
              <w:jc w:val="both"/>
              <w:rPr>
                <w:b/>
                <w:bCs/>
                <w:szCs w:val="24"/>
              </w:rPr>
            </w:pPr>
            <w:r w:rsidRPr="00934915">
              <w:rPr>
                <w:b/>
                <w:bCs/>
                <w:szCs w:val="24"/>
              </w:rPr>
              <w:t>Rīgas Metropole</w:t>
            </w:r>
          </w:p>
          <w:p w14:paraId="3299E47E" w14:textId="77777777" w:rsidR="00934915" w:rsidRDefault="00934915" w:rsidP="00177D5B">
            <w:pPr>
              <w:pStyle w:val="Standard"/>
              <w:jc w:val="both"/>
              <w:rPr>
                <w:szCs w:val="24"/>
              </w:rPr>
            </w:pPr>
          </w:p>
          <w:p w14:paraId="79398899" w14:textId="77777777" w:rsidR="00934915" w:rsidRPr="00934915" w:rsidRDefault="00934915" w:rsidP="00934915">
            <w:pPr>
              <w:pStyle w:val="Standard"/>
              <w:jc w:val="both"/>
              <w:rPr>
                <w:szCs w:val="24"/>
              </w:rPr>
            </w:pPr>
            <w:r w:rsidRPr="00934915">
              <w:rPr>
                <w:szCs w:val="24"/>
              </w:rPr>
              <w:t xml:space="preserve">Ņemot vērā, ka rakšanas atļauja tiek izsniegta būvniecības stadijā pēc līguma par būvdarbu veikšanu noslēgšanas, balstoties uz inženierkomunikāciju turētāju izvirzītajiem tehniskajiem noteikumiem vai atbilstoši pašvaldības saistošajiem noteikumiem , lūdzam skaidrot Ministru kabineta noteikumu projekta vērtēšanas kritērija Nr.3.3. projekta iesnieguma vērtēšanas kritēriju piemērošanas metodikā ietvertā nosacījuma par projekta gatavības pakāpes apliecinājuma pamatotību, proti, izsniegtu rakšanas atļauju. </w:t>
            </w:r>
          </w:p>
          <w:p w14:paraId="2F3A4274" w14:textId="77777777" w:rsidR="00934915" w:rsidRPr="00934915" w:rsidRDefault="00934915" w:rsidP="00934915">
            <w:pPr>
              <w:pStyle w:val="Standard"/>
              <w:jc w:val="both"/>
              <w:rPr>
                <w:szCs w:val="24"/>
              </w:rPr>
            </w:pPr>
            <w:r w:rsidRPr="00934915">
              <w:rPr>
                <w:szCs w:val="24"/>
              </w:rPr>
              <w:t xml:space="preserve">Vēršam uzmanību, ka līguma noslēgšana ar būvuzņēmēju par darbu veikšanu pirms projekta iesnieguma apstiprināšanas un finansējuma piešķiršanas rada finansiālu risku projekta iesniedzējam, proti, uzņemties finansiālas saistības pirms finansējuma pieejamības. </w:t>
            </w:r>
          </w:p>
          <w:p w14:paraId="69143321" w14:textId="77777777" w:rsidR="00934915" w:rsidRPr="00934915" w:rsidRDefault="00934915" w:rsidP="00934915">
            <w:pPr>
              <w:pStyle w:val="Standard"/>
              <w:jc w:val="both"/>
              <w:rPr>
                <w:szCs w:val="24"/>
              </w:rPr>
            </w:pPr>
            <w:r w:rsidRPr="00934915">
              <w:rPr>
                <w:szCs w:val="24"/>
              </w:rPr>
              <w:t>Nosacījums par izsniegtu rakšanas atļauju ir pretrunā arī kritērija Nr. 1.5. “Projekta iesniegumā plānotās darbības, izņemot MK noteikumos noteiktās komercdarbības atbalsta darbības, nav uzsāktas, un atbilst Komisijas regulas Nr.651/2014 6.panta prasībām attiecībā uz atbalsta stimulējošo ietekmi” vērtēšanas metodoloģijā norādītajai informācijai, proti:</w:t>
            </w:r>
          </w:p>
          <w:p w14:paraId="46FA74C5" w14:textId="77777777" w:rsidR="00934915" w:rsidRPr="00934915" w:rsidRDefault="00934915" w:rsidP="00934915">
            <w:pPr>
              <w:pStyle w:val="Standard"/>
              <w:jc w:val="both"/>
              <w:rPr>
                <w:szCs w:val="24"/>
              </w:rPr>
            </w:pPr>
            <w:r w:rsidRPr="00934915">
              <w:rPr>
                <w:szCs w:val="24"/>
              </w:rPr>
              <w:lastRenderedPageBreak/>
              <w:t>“Projektā nevar tikt iekļautas uzsāktas vai pabeigtas darbības. Būvdarbu līgumu var slēgt un ar ieguldījumiem saistītus būvdarbus uzsākt pēc projekta iesnieguma iesniegšanas sadarbības iestādē.</w:t>
            </w:r>
          </w:p>
          <w:p w14:paraId="115E861B" w14:textId="77777777" w:rsidR="00934915" w:rsidRPr="00934915" w:rsidRDefault="00934915" w:rsidP="00934915">
            <w:pPr>
              <w:pStyle w:val="Standard"/>
              <w:jc w:val="both"/>
              <w:rPr>
                <w:szCs w:val="24"/>
              </w:rPr>
            </w:pPr>
            <w:r w:rsidRPr="00934915">
              <w:rPr>
                <w:szCs w:val="24"/>
              </w:rPr>
              <w:t xml:space="preserve">Projekta iesniegumā iekļautās darbības, kas pretendē uz komercdarbības atbalsta saņemšanu atbilstoši regulas Nr. 651/2014 47.pantam, drīkst uzsākt tikai pēc projekta iesnieguma iesniegšanas sadarbības iestādē. </w:t>
            </w:r>
          </w:p>
          <w:p w14:paraId="289BF871" w14:textId="724B79CB" w:rsidR="00934915" w:rsidRDefault="00934915" w:rsidP="00934915">
            <w:pPr>
              <w:pStyle w:val="Standard"/>
              <w:jc w:val="both"/>
              <w:rPr>
                <w:szCs w:val="24"/>
              </w:rPr>
            </w:pPr>
            <w:r w:rsidRPr="00934915">
              <w:rPr>
                <w:szCs w:val="24"/>
              </w:rPr>
              <w:t>Atbilstoši regulas Nr.651/2014 2.panta 23.punktam “darbu sākums” ir ar ieguldījumu saistītu būvdarbu sākums vai pirmā juridiski saistošā apņemšanās pasūtīt aprīkojumu, vai citas saistības, kas padara ieguldījumu neatgriezenisku, – atkarībā no tā, kas notiek pirmais.”</w:t>
            </w:r>
          </w:p>
        </w:tc>
        <w:tc>
          <w:tcPr>
            <w:tcW w:w="3366" w:type="dxa"/>
          </w:tcPr>
          <w:p w14:paraId="39062C7A" w14:textId="420C91D6" w:rsidR="0043670F" w:rsidRPr="00FC1386" w:rsidRDefault="00070BB4" w:rsidP="0043670F">
            <w:pPr>
              <w:jc w:val="both"/>
              <w:rPr>
                <w:rFonts w:eastAsia="Calibri" w:cstheme="minorBidi"/>
                <w:b/>
                <w:bCs/>
                <w:szCs w:val="24"/>
              </w:rPr>
            </w:pPr>
            <w:r w:rsidRPr="00FC1386">
              <w:rPr>
                <w:rFonts w:eastAsia="Calibri" w:cstheme="minorBidi"/>
                <w:b/>
                <w:bCs/>
                <w:szCs w:val="24"/>
              </w:rPr>
              <w:lastRenderedPageBreak/>
              <w:t>Ņemts vērā</w:t>
            </w:r>
          </w:p>
          <w:p w14:paraId="3CE525A7" w14:textId="77777777" w:rsidR="0043670F" w:rsidRPr="0043670F" w:rsidRDefault="0043670F" w:rsidP="0043670F">
            <w:pPr>
              <w:jc w:val="both"/>
              <w:rPr>
                <w:rFonts w:eastAsia="Calibri" w:cstheme="minorBidi"/>
                <w:szCs w:val="24"/>
              </w:rPr>
            </w:pPr>
            <w:r w:rsidRPr="0043670F">
              <w:rPr>
                <w:rFonts w:eastAsia="Calibri" w:cstheme="minorBidi"/>
                <w:szCs w:val="24"/>
              </w:rPr>
              <w:t>Ievērojot, ka Latvijā pašvaldībās pastāv dažāda pieeja, nosakot rakšanas atļauju saņēmējus, rosinām saglabāt rakšanas atļauju kā vienu no projekta gatavības dokumentiem. Tomēr gadījumos, ja rakšanas atļauju drīkst saņemt tikai būvnieks, kas nozīmē, ka tiek pārkāptas stimulējošas ietekmes prasības, projektu iesniegumu vērtēšanas kritēriju metodikā iekļauts papildu skaidrojums. Tas nosaka, ka saņemt punktus var tikai tādā gadījumā, ja kritērijā minētie dokumenti ir izsniegti projekta iesniedzējam. Līdz ar to šāds skaidrojums nodrošinās visā Latvijā piemērojamu praksi, vienlaikus nepārkāpjot stimulējošas ietekmes prasības.</w:t>
            </w:r>
          </w:p>
          <w:p w14:paraId="0296CACA" w14:textId="77777777" w:rsidR="00A57181" w:rsidRDefault="00A57181" w:rsidP="0043670F">
            <w:pPr>
              <w:pStyle w:val="Standard"/>
              <w:jc w:val="both"/>
              <w:rPr>
                <w:szCs w:val="24"/>
              </w:rPr>
            </w:pPr>
          </w:p>
        </w:tc>
        <w:tc>
          <w:tcPr>
            <w:tcW w:w="2790" w:type="dxa"/>
          </w:tcPr>
          <w:p w14:paraId="6F11ECD4" w14:textId="2C164A2C" w:rsidR="00A57181" w:rsidRDefault="00F011E8" w:rsidP="00177D5B">
            <w:pPr>
              <w:pStyle w:val="Standard"/>
              <w:jc w:val="both"/>
              <w:rPr>
                <w:szCs w:val="24"/>
              </w:rPr>
            </w:pPr>
            <w:r>
              <w:rPr>
                <w:szCs w:val="24"/>
              </w:rPr>
              <w:t>3.3. kritērija piemērošanas metodik</w:t>
            </w:r>
            <w:r w:rsidR="00F94737">
              <w:rPr>
                <w:szCs w:val="24"/>
              </w:rPr>
              <w:t>as skaidrojums papildināts ar nosacījumu šādā redakcijā:</w:t>
            </w:r>
          </w:p>
          <w:p w14:paraId="21EB29DB" w14:textId="77777777" w:rsidR="0043670F" w:rsidRDefault="0043670F" w:rsidP="00177D5B">
            <w:pPr>
              <w:pStyle w:val="Standard"/>
              <w:jc w:val="both"/>
              <w:rPr>
                <w:szCs w:val="24"/>
              </w:rPr>
            </w:pPr>
          </w:p>
          <w:p w14:paraId="55B16CF5" w14:textId="77777777" w:rsidR="0043670F" w:rsidRPr="00F94737" w:rsidRDefault="0043670F" w:rsidP="0043670F">
            <w:pPr>
              <w:pStyle w:val="NoSpacing"/>
              <w:spacing w:before="120" w:after="120"/>
              <w:jc w:val="both"/>
              <w:rPr>
                <w:rFonts w:ascii="Times New Roman" w:hAnsi="Times New Roman" w:cs="Times New Roman"/>
                <w:b/>
                <w:bCs/>
                <w:color w:val="000000" w:themeColor="text1"/>
                <w:sz w:val="24"/>
                <w:szCs w:val="24"/>
              </w:rPr>
            </w:pPr>
            <w:r w:rsidRPr="00F94737">
              <w:rPr>
                <w:rFonts w:ascii="Times New Roman" w:hAnsi="Times New Roman" w:cs="Times New Roman"/>
                <w:b/>
                <w:bCs/>
                <w:color w:val="000000" w:themeColor="text1"/>
                <w:sz w:val="24"/>
                <w:szCs w:val="24"/>
              </w:rPr>
              <w:t>Projekta gatavības pakāpes noteikšanai iesniegtie</w:t>
            </w:r>
            <w:r w:rsidRPr="00F94737">
              <w:rPr>
                <w:rFonts w:ascii="Times New Roman" w:hAnsi="Times New Roman"/>
                <w:b/>
                <w:bCs/>
                <w:color w:val="000000" w:themeColor="text1"/>
                <w:sz w:val="24"/>
              </w:rPr>
              <w:t xml:space="preserve"> vai norādītie</w:t>
            </w:r>
            <w:r w:rsidRPr="00F94737">
              <w:rPr>
                <w:rFonts w:ascii="Times New Roman" w:hAnsi="Times New Roman" w:cs="Times New Roman"/>
                <w:b/>
                <w:bCs/>
                <w:color w:val="000000" w:themeColor="text1"/>
                <w:sz w:val="24"/>
                <w:szCs w:val="24"/>
              </w:rPr>
              <w:t xml:space="preserve"> dokumenti drīkst būt izsniegti tikai projekta iesniedzējam.</w:t>
            </w:r>
          </w:p>
          <w:p w14:paraId="6DEE62A6" w14:textId="77777777" w:rsidR="0043670F" w:rsidRDefault="0043670F" w:rsidP="00177D5B">
            <w:pPr>
              <w:pStyle w:val="Standard"/>
              <w:jc w:val="both"/>
              <w:rPr>
                <w:szCs w:val="24"/>
              </w:rPr>
            </w:pPr>
          </w:p>
        </w:tc>
      </w:tr>
    </w:tbl>
    <w:p w14:paraId="4764F384" w14:textId="06DEDADC" w:rsidR="00A57181" w:rsidRDefault="00A57181" w:rsidP="00137F01">
      <w:pPr>
        <w:pStyle w:val="Standard"/>
        <w:shd w:val="clear" w:color="auto" w:fill="FFFFFF"/>
        <w:jc w:val="center"/>
        <w:rPr>
          <w:szCs w:val="24"/>
        </w:rPr>
      </w:pPr>
    </w:p>
    <w:p w14:paraId="46F21B0E" w14:textId="77777777" w:rsidR="00137F01" w:rsidRDefault="00137F01" w:rsidP="00137F01"/>
    <w:p w14:paraId="69EB424D" w14:textId="77777777" w:rsidR="0095483D" w:rsidRDefault="0095483D"/>
    <w:sectPr w:rsidR="0095483D" w:rsidSect="00A57181">
      <w:headerReference w:type="default" r:id="rId7"/>
      <w:footerReference w:type="default" r:id="rId8"/>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141DB" w14:textId="77777777" w:rsidR="007046E3" w:rsidRDefault="007046E3" w:rsidP="00137F01">
      <w:r>
        <w:separator/>
      </w:r>
    </w:p>
  </w:endnote>
  <w:endnote w:type="continuationSeparator" w:id="0">
    <w:p w14:paraId="5B332911" w14:textId="77777777" w:rsidR="007046E3" w:rsidRDefault="007046E3" w:rsidP="001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540398"/>
      <w:docPartObj>
        <w:docPartGallery w:val="Page Numbers (Bottom of Page)"/>
        <w:docPartUnique/>
      </w:docPartObj>
    </w:sdtPr>
    <w:sdtEndPr>
      <w:rPr>
        <w:noProof/>
      </w:rPr>
    </w:sdtEndPr>
    <w:sdtContent>
      <w:p w14:paraId="717C0BD6" w14:textId="412878A1" w:rsidR="00A57181" w:rsidRDefault="00A57181">
        <w:pPr>
          <w:pStyle w:val="Footer"/>
          <w:jc w:val="center"/>
        </w:pPr>
        <w:r>
          <w:fldChar w:fldCharType="begin"/>
        </w:r>
        <w:r>
          <w:instrText xml:space="preserve"> PAGE   \* MERGEFORMAT </w:instrText>
        </w:r>
        <w:r>
          <w:fldChar w:fldCharType="separate"/>
        </w:r>
        <w:r w:rsidR="00CF2966">
          <w:rPr>
            <w:noProof/>
          </w:rPr>
          <w:t>1</w:t>
        </w:r>
        <w:r>
          <w:rPr>
            <w:noProof/>
          </w:rPr>
          <w:fldChar w:fldCharType="end"/>
        </w:r>
      </w:p>
    </w:sdtContent>
  </w:sdt>
  <w:p w14:paraId="183E44C5" w14:textId="77777777" w:rsidR="003B1EF8" w:rsidRDefault="003B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429FE" w14:textId="77777777" w:rsidR="007046E3" w:rsidRDefault="007046E3" w:rsidP="00137F01">
      <w:r>
        <w:separator/>
      </w:r>
    </w:p>
  </w:footnote>
  <w:footnote w:type="continuationSeparator" w:id="0">
    <w:p w14:paraId="7887A5BD" w14:textId="77777777" w:rsidR="007046E3" w:rsidRDefault="007046E3" w:rsidP="0013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4D089" w14:textId="40F83854" w:rsidR="003B1EF8" w:rsidRPr="00137F01" w:rsidRDefault="00177D5B" w:rsidP="00911740">
    <w:pPr>
      <w:pStyle w:val="Header"/>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4-05-24T00:00:00Z">
          <w:dateFormat w:val="dd.MM.yyyy"/>
          <w:lid w:val="lv-LV"/>
          <w:storeMappedDataAs w:val="dateTime"/>
          <w:calendar w:val="gregorian"/>
        </w:date>
      </w:sdtPr>
      <w:sdtContent>
        <w:r w:rsidR="00A05B88">
          <w:rPr>
            <w:rFonts w:cs="Times New Roman"/>
            <w:i/>
            <w:szCs w:val="24"/>
          </w:rPr>
          <w:t>24.05.2024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0"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3184320">
    <w:abstractNumId w:val="5"/>
  </w:num>
  <w:num w:numId="2" w16cid:durableId="21363638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2445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07907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9454224">
    <w:abstractNumId w:val="9"/>
  </w:num>
  <w:num w:numId="6" w16cid:durableId="966812223">
    <w:abstractNumId w:val="1"/>
  </w:num>
  <w:num w:numId="7" w16cid:durableId="39981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2346613">
    <w:abstractNumId w:val="4"/>
  </w:num>
  <w:num w:numId="9" w16cid:durableId="189926019">
    <w:abstractNumId w:val="6"/>
  </w:num>
  <w:num w:numId="10" w16cid:durableId="1767379387">
    <w:abstractNumId w:val="0"/>
  </w:num>
  <w:num w:numId="11" w16cid:durableId="486557954">
    <w:abstractNumId w:val="3"/>
  </w:num>
  <w:num w:numId="12" w16cid:durableId="2138445622">
    <w:abstractNumId w:val="10"/>
  </w:num>
  <w:num w:numId="13" w16cid:durableId="1632635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23754"/>
    <w:rsid w:val="00070BB4"/>
    <w:rsid w:val="00137F01"/>
    <w:rsid w:val="00147641"/>
    <w:rsid w:val="0016443C"/>
    <w:rsid w:val="00177D5B"/>
    <w:rsid w:val="002741F4"/>
    <w:rsid w:val="002864C6"/>
    <w:rsid w:val="003B1EF8"/>
    <w:rsid w:val="003F16D6"/>
    <w:rsid w:val="0043670F"/>
    <w:rsid w:val="00582544"/>
    <w:rsid w:val="006548EA"/>
    <w:rsid w:val="007046E3"/>
    <w:rsid w:val="0084203B"/>
    <w:rsid w:val="00934915"/>
    <w:rsid w:val="0095483D"/>
    <w:rsid w:val="00A05B88"/>
    <w:rsid w:val="00A57181"/>
    <w:rsid w:val="00B1634A"/>
    <w:rsid w:val="00B55104"/>
    <w:rsid w:val="00BA461D"/>
    <w:rsid w:val="00CF2966"/>
    <w:rsid w:val="00D56E4C"/>
    <w:rsid w:val="00E422D8"/>
    <w:rsid w:val="00F011E8"/>
    <w:rsid w:val="00F3658D"/>
    <w:rsid w:val="00F94737"/>
    <w:rsid w:val="00FC1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704F"/>
  <w15:chartTrackingRefBased/>
  <w15:docId w15:val="{FE1474CF-4EA2-479A-B552-19F31A47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Heading1">
    <w:name w:val="heading 1"/>
    <w:next w:val="Normal"/>
    <w:link w:val="Heading1Char"/>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ListParagraph">
    <w:name w:val="List Paragraph"/>
    <w:aliases w:val="H&amp;P List Paragraph,2,Strip,Saraksta rindkopa1,Normal bullet 2,Bullet list,List Paragraph1"/>
    <w:basedOn w:val="Standard"/>
    <w:link w:val="ListParagraphChar"/>
    <w:uiPriority w:val="34"/>
    <w:qFormat/>
    <w:rsid w:val="00137F01"/>
    <w:pPr>
      <w:ind w:left="720"/>
    </w:pPr>
  </w:style>
  <w:style w:type="paragraph" w:styleId="Header">
    <w:name w:val="header"/>
    <w:basedOn w:val="Normal"/>
    <w:link w:val="HeaderChar"/>
    <w:uiPriority w:val="99"/>
    <w:unhideWhenUsed/>
    <w:rsid w:val="00137F01"/>
    <w:pPr>
      <w:tabs>
        <w:tab w:val="center" w:pos="4153"/>
        <w:tab w:val="right" w:pos="8306"/>
      </w:tabs>
    </w:pPr>
  </w:style>
  <w:style w:type="character" w:customStyle="1" w:styleId="HeaderChar">
    <w:name w:val="Header Char"/>
    <w:basedOn w:val="DefaultParagraphFont"/>
    <w:link w:val="Header"/>
    <w:uiPriority w:val="99"/>
    <w:rsid w:val="00137F01"/>
    <w:rPr>
      <w:rFonts w:eastAsia="SimSun" w:cs="F"/>
      <w:kern w:val="3"/>
      <w:szCs w:val="22"/>
      <w14:ligatures w14:val="none"/>
    </w:rPr>
  </w:style>
  <w:style w:type="paragraph" w:styleId="Footer">
    <w:name w:val="footer"/>
    <w:basedOn w:val="Normal"/>
    <w:link w:val="FooterChar"/>
    <w:uiPriority w:val="99"/>
    <w:unhideWhenUsed/>
    <w:rsid w:val="00137F01"/>
    <w:pPr>
      <w:tabs>
        <w:tab w:val="center" w:pos="4153"/>
        <w:tab w:val="right" w:pos="8306"/>
      </w:tabs>
    </w:pPr>
  </w:style>
  <w:style w:type="character" w:customStyle="1" w:styleId="FooterChar">
    <w:name w:val="Footer Char"/>
    <w:basedOn w:val="DefaultParagraphFont"/>
    <w:link w:val="Footer"/>
    <w:uiPriority w:val="99"/>
    <w:rsid w:val="00137F01"/>
    <w:rPr>
      <w:rFonts w:eastAsia="SimSun" w:cs="F"/>
      <w:kern w:val="3"/>
      <w:szCs w:val="22"/>
      <w14:ligatures w14:val="none"/>
    </w:rPr>
  </w:style>
  <w:style w:type="character" w:styleId="CommentReference">
    <w:name w:val="annotation reference"/>
    <w:basedOn w:val="DefaultParagraphFont"/>
    <w:uiPriority w:val="99"/>
    <w:semiHidden/>
    <w:unhideWhenUsed/>
    <w:rsid w:val="00137F01"/>
    <w:rPr>
      <w:sz w:val="16"/>
      <w:szCs w:val="16"/>
    </w:rPr>
  </w:style>
  <w:style w:type="paragraph" w:styleId="CommentText">
    <w:name w:val="annotation text"/>
    <w:basedOn w:val="Normal"/>
    <w:link w:val="CommentTextChar"/>
    <w:uiPriority w:val="99"/>
    <w:unhideWhenUsed/>
    <w:rsid w:val="00137F01"/>
    <w:rPr>
      <w:sz w:val="20"/>
      <w:szCs w:val="20"/>
    </w:rPr>
  </w:style>
  <w:style w:type="character" w:customStyle="1" w:styleId="CommentTextChar">
    <w:name w:val="Comment Text Char"/>
    <w:basedOn w:val="DefaultParagraphFont"/>
    <w:link w:val="CommentText"/>
    <w:uiPriority w:val="99"/>
    <w:rsid w:val="00137F01"/>
    <w:rPr>
      <w:rFonts w:eastAsia="SimSun" w:cs="F"/>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137F01"/>
    <w:rPr>
      <w:b/>
      <w:bCs/>
    </w:rPr>
  </w:style>
  <w:style w:type="character" w:customStyle="1" w:styleId="CommentSubjectChar">
    <w:name w:val="Comment Subject Char"/>
    <w:basedOn w:val="CommentTextChar"/>
    <w:link w:val="CommentSubject"/>
    <w:uiPriority w:val="99"/>
    <w:semiHidden/>
    <w:rsid w:val="00137F01"/>
    <w:rPr>
      <w:rFonts w:eastAsia="SimSun" w:cs="F"/>
      <w:b/>
      <w:bCs/>
      <w:kern w:val="3"/>
      <w:sz w:val="20"/>
      <w:szCs w:val="20"/>
      <w14:ligatures w14:val="none"/>
    </w:rPr>
  </w:style>
  <w:style w:type="paragraph" w:styleId="BalloonText">
    <w:name w:val="Balloon Text"/>
    <w:basedOn w:val="Normal"/>
    <w:link w:val="BalloonTextChar"/>
    <w:uiPriority w:val="99"/>
    <w:semiHidden/>
    <w:unhideWhenUsed/>
    <w:rsid w:val="0013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eastAsia="SimSun" w:hAnsi="Segoe UI" w:cs="Segoe UI"/>
      <w:kern w:val="3"/>
      <w:sz w:val="18"/>
      <w:szCs w:val="18"/>
      <w14:ligatures w14:val="none"/>
    </w:rPr>
  </w:style>
  <w:style w:type="character" w:styleId="Hyperlink">
    <w:name w:val="Hyperlink"/>
    <w:basedOn w:val="DefaultParagraphFont"/>
    <w:uiPriority w:val="99"/>
    <w:unhideWhenUsed/>
    <w:rsid w:val="00137F01"/>
    <w:rPr>
      <w:color w:val="0563C1"/>
      <w:u w:val="single"/>
    </w:rPr>
  </w:style>
  <w:style w:type="character" w:customStyle="1" w:styleId="NoteikumutekstamRakstz">
    <w:name w:val="Noteikumu tekstam Rakstz."/>
    <w:basedOn w:val="DefaultParagraphFont"/>
    <w:link w:val="Noteikumutekstam"/>
    <w:locked/>
    <w:rsid w:val="00137F01"/>
  </w:style>
  <w:style w:type="paragraph" w:customStyle="1" w:styleId="Noteikumutekstam">
    <w:name w:val="Noteikumu tekstam"/>
    <w:basedOn w:val="Normal"/>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NoSpacing">
    <w:name w:val="No Spacing"/>
    <w:aliases w:val="Parastais"/>
    <w:basedOn w:val="Normal"/>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TableGrid">
    <w:name w:val="Table Grid"/>
    <w:basedOn w:val="TableNormal"/>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
    <w:basedOn w:val="DefaultParagraphFont"/>
    <w:link w:val="ListParagraph"/>
    <w:uiPriority w:val="34"/>
    <w:locked/>
    <w:rsid w:val="00137F01"/>
    <w:rPr>
      <w:rFonts w:eastAsia="Calibri"/>
      <w:kern w:val="3"/>
      <w:szCs w:val="22"/>
      <w14:ligatures w14:val="none"/>
    </w:rPr>
  </w:style>
  <w:style w:type="paragraph" w:customStyle="1" w:styleId="Default">
    <w:name w:val="Default"/>
    <w:basedOn w:val="Normal"/>
    <w:rsid w:val="00137F01"/>
    <w:pPr>
      <w:widowControl/>
      <w:suppressAutoHyphens w:val="0"/>
      <w:autoSpaceDE w:val="0"/>
      <w:textAlignment w:val="auto"/>
    </w:pPr>
    <w:rPr>
      <w:rFonts w:eastAsiaTheme="minorHAnsi" w:cs="Times New Roman"/>
      <w:color w:val="000000"/>
      <w:kern w:val="0"/>
      <w:szCs w:val="24"/>
      <w:lang w:eastAsia="lv-LV"/>
    </w:rPr>
  </w:style>
  <w:style w:type="character" w:styleId="PlaceholderText">
    <w:name w:val="Placeholder Text"/>
    <w:basedOn w:val="DefaultParagraphFont"/>
    <w:uiPriority w:val="99"/>
    <w:semiHidden/>
    <w:rsid w:val="00137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4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16443C"/>
    <w:rsid w:val="00245848"/>
    <w:rsid w:val="00582544"/>
    <w:rsid w:val="00994E0D"/>
    <w:rsid w:val="00B1634A"/>
    <w:rsid w:val="00DA51A3"/>
    <w:rsid w:val="00E422D8"/>
    <w:rsid w:val="00F14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2021</Words>
  <Characters>1152</Characters>
  <Application>Microsoft Office Word</Application>
  <DocSecurity>0</DocSecurity>
  <Lines>9</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Austra Auziņa</cp:lastModifiedBy>
  <cp:revision>8</cp:revision>
  <dcterms:created xsi:type="dcterms:W3CDTF">2024-05-21T12:29:00Z</dcterms:created>
  <dcterms:modified xsi:type="dcterms:W3CDTF">2024-05-24T12:13:00Z</dcterms:modified>
</cp:coreProperties>
</file>