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D94A4" w14:textId="06CA4E5F" w:rsidR="00A75F28" w:rsidRPr="002F1149" w:rsidRDefault="00137F01" w:rsidP="00A75F28">
      <w:pPr>
        <w:pStyle w:val="Standard"/>
        <w:jc w:val="center"/>
        <w:rPr>
          <w:b/>
          <w:szCs w:val="24"/>
        </w:rPr>
      </w:pPr>
      <w:r w:rsidRPr="002F1149">
        <w:rPr>
          <w:b/>
          <w:szCs w:val="24"/>
        </w:rPr>
        <w:t xml:space="preserve">Izziņa </w:t>
      </w:r>
      <w:r w:rsidR="00430503" w:rsidRPr="002F1149">
        <w:rPr>
          <w:b/>
          <w:szCs w:val="24"/>
        </w:rPr>
        <w:t>p</w:t>
      </w:r>
      <w:r w:rsidRPr="002F1149">
        <w:rPr>
          <w:b/>
          <w:szCs w:val="24"/>
        </w:rPr>
        <w:t xml:space="preserve">ar </w:t>
      </w:r>
      <w:r w:rsidR="00430503" w:rsidRPr="002F1149">
        <w:rPr>
          <w:b/>
          <w:szCs w:val="24"/>
        </w:rPr>
        <w:t>veicamajiem grozījumiem</w:t>
      </w:r>
      <w:r w:rsidRPr="002F1149">
        <w:rPr>
          <w:b/>
          <w:szCs w:val="24"/>
        </w:rPr>
        <w:t xml:space="preserve"> </w:t>
      </w:r>
      <w:r w:rsidR="00430503" w:rsidRPr="002F1149">
        <w:rPr>
          <w:b/>
          <w:szCs w:val="24"/>
        </w:rPr>
        <w:t xml:space="preserve">Eiropas Savienības kohēzijas politikas programmas 2021. – 2027. gadam </w:t>
      </w:r>
      <w:r w:rsidR="00A75F28" w:rsidRPr="002F1149">
        <w:rPr>
          <w:b/>
          <w:szCs w:val="24"/>
        </w:rPr>
        <w:t>2.2.1. specifiskā atbalsta mērķa “</w:t>
      </w:r>
      <w:r w:rsidR="005D0A69" w:rsidRPr="005D0A69">
        <w:rPr>
          <w:b/>
          <w:szCs w:val="24"/>
        </w:rPr>
        <w:t>Veicināt ilgtspējīgu ūdenssaimniecību</w:t>
      </w:r>
      <w:r w:rsidR="00A75F28" w:rsidRPr="002F1149">
        <w:rPr>
          <w:b/>
          <w:szCs w:val="24"/>
        </w:rPr>
        <w:t>” 2.2.1.1. pasākuma “</w:t>
      </w:r>
      <w:r w:rsidR="00614422" w:rsidRPr="00614422">
        <w:rPr>
          <w:b/>
          <w:szCs w:val="24"/>
        </w:rPr>
        <w:t>Notekūdeņu un to dūņu apsaimniekošanas sistēmas attīstība piesārņojuma samazināšanai</w:t>
      </w:r>
      <w:r w:rsidR="00A75F28" w:rsidRPr="002F1149">
        <w:rPr>
          <w:b/>
          <w:szCs w:val="24"/>
        </w:rPr>
        <w:t>” pirmās projektu iesniegumu atlases kārtas projekt</w:t>
      </w:r>
      <w:r w:rsidR="006A3060" w:rsidRPr="002F1149">
        <w:rPr>
          <w:b/>
          <w:szCs w:val="24"/>
        </w:rPr>
        <w:t>u iesniegumu vērtēšanas kritērijos un to piemērošanas metodikā</w:t>
      </w:r>
    </w:p>
    <w:p w14:paraId="6EC3D236" w14:textId="6FC082C0" w:rsidR="00137F01" w:rsidRPr="00430503" w:rsidRDefault="00137F01" w:rsidP="00137F01">
      <w:pPr>
        <w:pStyle w:val="Standard"/>
        <w:shd w:val="clear" w:color="auto" w:fill="FFFFFF"/>
        <w:jc w:val="center"/>
        <w:rPr>
          <w:szCs w:val="24"/>
          <w:highlight w:val="yellow"/>
        </w:rPr>
      </w:pPr>
    </w:p>
    <w:tbl>
      <w:tblPr>
        <w:tblStyle w:val="TableGrid"/>
        <w:tblW w:w="15593" w:type="dxa"/>
        <w:tblInd w:w="-856" w:type="dxa"/>
        <w:tblLook w:val="04A0" w:firstRow="1" w:lastRow="0" w:firstColumn="1" w:lastColumn="0" w:noHBand="0" w:noVBand="1"/>
      </w:tblPr>
      <w:tblGrid>
        <w:gridCol w:w="508"/>
        <w:gridCol w:w="1182"/>
        <w:gridCol w:w="4634"/>
        <w:gridCol w:w="6214"/>
        <w:gridCol w:w="3055"/>
      </w:tblGrid>
      <w:tr w:rsidR="00CE0989" w:rsidRPr="00430503" w14:paraId="1DC85C06" w14:textId="77777777" w:rsidTr="00CE0989">
        <w:tc>
          <w:tcPr>
            <w:tcW w:w="508" w:type="dxa"/>
          </w:tcPr>
          <w:p w14:paraId="4BB141E3" w14:textId="76725B81" w:rsidR="002F1149" w:rsidRPr="002F1149" w:rsidRDefault="002F1149" w:rsidP="00137F01">
            <w:pPr>
              <w:pStyle w:val="Standard"/>
              <w:jc w:val="center"/>
              <w:rPr>
                <w:rFonts w:cs="Times New Roman"/>
                <w:b/>
                <w:bCs/>
                <w:sz w:val="22"/>
              </w:rPr>
            </w:pPr>
            <w:r w:rsidRPr="002F1149">
              <w:rPr>
                <w:rFonts w:cs="Times New Roman"/>
                <w:b/>
                <w:bCs/>
                <w:sz w:val="22"/>
              </w:rPr>
              <w:t>Nr.</w:t>
            </w:r>
          </w:p>
        </w:tc>
        <w:tc>
          <w:tcPr>
            <w:tcW w:w="1049" w:type="dxa"/>
          </w:tcPr>
          <w:p w14:paraId="6A3984BE" w14:textId="3A6310E2" w:rsidR="002F1149" w:rsidRPr="002F1149" w:rsidRDefault="002F1149" w:rsidP="00137F01">
            <w:pPr>
              <w:pStyle w:val="Standard"/>
              <w:jc w:val="center"/>
              <w:rPr>
                <w:rFonts w:cs="Times New Roman"/>
                <w:b/>
                <w:bCs/>
                <w:sz w:val="22"/>
              </w:rPr>
            </w:pPr>
            <w:r w:rsidRPr="002F1149">
              <w:rPr>
                <w:rFonts w:cs="Times New Roman"/>
                <w:b/>
                <w:bCs/>
                <w:sz w:val="22"/>
              </w:rPr>
              <w:t>Kritērijs</w:t>
            </w:r>
          </w:p>
        </w:tc>
        <w:tc>
          <w:tcPr>
            <w:tcW w:w="4634" w:type="dxa"/>
          </w:tcPr>
          <w:p w14:paraId="3BA660B7" w14:textId="35DB7B58" w:rsidR="002F1149" w:rsidRPr="002F1149" w:rsidRDefault="002F1149" w:rsidP="00A57181">
            <w:pPr>
              <w:pStyle w:val="Standard"/>
              <w:jc w:val="center"/>
              <w:rPr>
                <w:rFonts w:cs="Times New Roman"/>
                <w:b/>
                <w:bCs/>
                <w:sz w:val="22"/>
              </w:rPr>
            </w:pPr>
            <w:r w:rsidRPr="002F1149">
              <w:rPr>
                <w:rFonts w:cs="Times New Roman"/>
                <w:b/>
                <w:bCs/>
                <w:sz w:val="22"/>
              </w:rPr>
              <w:t>Materiālu esošā redakcija</w:t>
            </w:r>
          </w:p>
        </w:tc>
        <w:tc>
          <w:tcPr>
            <w:tcW w:w="5859" w:type="dxa"/>
          </w:tcPr>
          <w:p w14:paraId="56AC214E" w14:textId="5D115C66" w:rsidR="002F1149" w:rsidRPr="002F1149" w:rsidRDefault="002F1149" w:rsidP="00137F01">
            <w:pPr>
              <w:pStyle w:val="Standard"/>
              <w:jc w:val="center"/>
              <w:rPr>
                <w:b/>
                <w:bCs/>
                <w:sz w:val="22"/>
              </w:rPr>
            </w:pPr>
            <w:r w:rsidRPr="002F1149">
              <w:rPr>
                <w:rFonts w:cs="Times New Roman"/>
                <w:b/>
                <w:bCs/>
                <w:sz w:val="22"/>
              </w:rPr>
              <w:t>Precizētā redakcija</w:t>
            </w:r>
          </w:p>
        </w:tc>
        <w:tc>
          <w:tcPr>
            <w:tcW w:w="3543" w:type="dxa"/>
          </w:tcPr>
          <w:p w14:paraId="3A7B0DAC" w14:textId="442E6DB8" w:rsidR="002F1149" w:rsidRPr="002F1149" w:rsidRDefault="002F1149" w:rsidP="00137F01">
            <w:pPr>
              <w:pStyle w:val="Standard"/>
              <w:jc w:val="center"/>
              <w:rPr>
                <w:rFonts w:cs="Times New Roman"/>
                <w:b/>
                <w:bCs/>
                <w:sz w:val="22"/>
              </w:rPr>
            </w:pPr>
            <w:r w:rsidRPr="002F1149">
              <w:rPr>
                <w:rFonts w:cs="Times New Roman"/>
                <w:b/>
                <w:bCs/>
                <w:sz w:val="22"/>
              </w:rPr>
              <w:t>AI skaidrojums grozījumu nepieciešamībai</w:t>
            </w:r>
          </w:p>
        </w:tc>
      </w:tr>
      <w:tr w:rsidR="00CE0989" w:rsidRPr="00430503" w14:paraId="380416C8" w14:textId="77777777" w:rsidTr="00CE0989">
        <w:tc>
          <w:tcPr>
            <w:tcW w:w="508" w:type="dxa"/>
          </w:tcPr>
          <w:p w14:paraId="2A7F122C" w14:textId="77777777" w:rsidR="002F1149" w:rsidRPr="002F1149" w:rsidRDefault="002F1149" w:rsidP="00137F01">
            <w:pPr>
              <w:pStyle w:val="Standard"/>
              <w:jc w:val="center"/>
              <w:rPr>
                <w:rFonts w:cs="Times New Roman"/>
                <w:b/>
                <w:bCs/>
                <w:sz w:val="22"/>
              </w:rPr>
            </w:pPr>
          </w:p>
        </w:tc>
        <w:tc>
          <w:tcPr>
            <w:tcW w:w="1049" w:type="dxa"/>
          </w:tcPr>
          <w:p w14:paraId="67E8DA1B" w14:textId="393A3207" w:rsidR="002F1149" w:rsidRPr="002F1149" w:rsidRDefault="002F1149" w:rsidP="00137F01">
            <w:pPr>
              <w:pStyle w:val="Standard"/>
              <w:jc w:val="center"/>
              <w:rPr>
                <w:rFonts w:cs="Times New Roman"/>
                <w:b/>
                <w:bCs/>
                <w:sz w:val="22"/>
              </w:rPr>
            </w:pPr>
            <w:r w:rsidRPr="002F1149">
              <w:rPr>
                <w:rFonts w:cs="Times New Roman"/>
                <w:b/>
                <w:bCs/>
                <w:sz w:val="22"/>
              </w:rPr>
              <w:t>1</w:t>
            </w:r>
          </w:p>
        </w:tc>
        <w:tc>
          <w:tcPr>
            <w:tcW w:w="4634" w:type="dxa"/>
          </w:tcPr>
          <w:p w14:paraId="6B041985" w14:textId="089E011A" w:rsidR="002F1149" w:rsidRPr="002F1149" w:rsidRDefault="002F1149" w:rsidP="00137F01">
            <w:pPr>
              <w:pStyle w:val="Standard"/>
              <w:jc w:val="center"/>
              <w:rPr>
                <w:rFonts w:cs="Times New Roman"/>
                <w:b/>
                <w:bCs/>
                <w:sz w:val="22"/>
              </w:rPr>
            </w:pPr>
            <w:r w:rsidRPr="002F1149">
              <w:rPr>
                <w:rFonts w:cs="Times New Roman"/>
                <w:b/>
                <w:bCs/>
                <w:sz w:val="22"/>
              </w:rPr>
              <w:t>2</w:t>
            </w:r>
          </w:p>
        </w:tc>
        <w:tc>
          <w:tcPr>
            <w:tcW w:w="5859" w:type="dxa"/>
          </w:tcPr>
          <w:p w14:paraId="5F81EF14" w14:textId="77777777" w:rsidR="002F1149" w:rsidRPr="002F1149" w:rsidRDefault="002F1149" w:rsidP="00137F01">
            <w:pPr>
              <w:pStyle w:val="Standard"/>
              <w:jc w:val="center"/>
              <w:rPr>
                <w:b/>
                <w:bCs/>
                <w:sz w:val="22"/>
              </w:rPr>
            </w:pPr>
            <w:r w:rsidRPr="002F1149">
              <w:rPr>
                <w:rFonts w:cs="Times New Roman"/>
                <w:b/>
                <w:bCs/>
                <w:sz w:val="22"/>
              </w:rPr>
              <w:t>3</w:t>
            </w:r>
          </w:p>
        </w:tc>
        <w:tc>
          <w:tcPr>
            <w:tcW w:w="3543" w:type="dxa"/>
          </w:tcPr>
          <w:p w14:paraId="093B038E" w14:textId="443415A5" w:rsidR="002F1149" w:rsidRPr="002F1149" w:rsidRDefault="002F1149" w:rsidP="00137F01">
            <w:pPr>
              <w:pStyle w:val="Standard"/>
              <w:jc w:val="center"/>
              <w:rPr>
                <w:rFonts w:cs="Times New Roman"/>
                <w:b/>
                <w:bCs/>
                <w:sz w:val="22"/>
              </w:rPr>
            </w:pPr>
            <w:r w:rsidRPr="002F1149">
              <w:rPr>
                <w:rFonts w:cs="Times New Roman"/>
                <w:b/>
                <w:bCs/>
                <w:sz w:val="22"/>
              </w:rPr>
              <w:t>4</w:t>
            </w:r>
          </w:p>
        </w:tc>
      </w:tr>
      <w:tr w:rsidR="00A57181" w:rsidRPr="00430503" w14:paraId="5F51158A" w14:textId="77777777" w:rsidTr="00CE0989">
        <w:tc>
          <w:tcPr>
            <w:tcW w:w="15593" w:type="dxa"/>
            <w:gridSpan w:val="5"/>
            <w:shd w:val="clear" w:color="auto" w:fill="C5E0B3" w:themeFill="accent6" w:themeFillTint="66"/>
          </w:tcPr>
          <w:p w14:paraId="5E6EE4EC" w14:textId="30665F84" w:rsidR="00A57181" w:rsidRPr="002F1149" w:rsidRDefault="00A57181" w:rsidP="00A57181">
            <w:pPr>
              <w:pStyle w:val="Standard"/>
              <w:jc w:val="both"/>
              <w:rPr>
                <w:rFonts w:cs="Times New Roman"/>
                <w:b/>
                <w:bCs/>
                <w:sz w:val="22"/>
              </w:rPr>
            </w:pPr>
            <w:r w:rsidRPr="002F1149">
              <w:rPr>
                <w:rFonts w:cs="Times New Roman"/>
                <w:b/>
                <w:bCs/>
                <w:sz w:val="22"/>
              </w:rPr>
              <w:t>Par projektu iesniegumu vērtēšanas kritērijiem</w:t>
            </w:r>
          </w:p>
        </w:tc>
      </w:tr>
      <w:tr w:rsidR="00284BC9" w:rsidRPr="00430503" w14:paraId="27582F2D" w14:textId="77777777" w:rsidTr="00CE0989">
        <w:tc>
          <w:tcPr>
            <w:tcW w:w="508" w:type="dxa"/>
          </w:tcPr>
          <w:p w14:paraId="449D3A99" w14:textId="77777777" w:rsidR="00284BC9" w:rsidRPr="00BD36CD" w:rsidRDefault="00284BC9" w:rsidP="00A57181">
            <w:pPr>
              <w:pStyle w:val="Standard"/>
              <w:numPr>
                <w:ilvl w:val="0"/>
                <w:numId w:val="13"/>
              </w:numPr>
              <w:ind w:hanging="1049"/>
              <w:jc w:val="center"/>
              <w:rPr>
                <w:sz w:val="22"/>
              </w:rPr>
            </w:pPr>
          </w:p>
        </w:tc>
        <w:tc>
          <w:tcPr>
            <w:tcW w:w="1049" w:type="dxa"/>
          </w:tcPr>
          <w:p w14:paraId="5EDDE017" w14:textId="2DFDB0F5" w:rsidR="00284BC9" w:rsidRPr="00BD36CD" w:rsidRDefault="00284BC9" w:rsidP="00177D5B">
            <w:pPr>
              <w:pStyle w:val="Standard"/>
              <w:jc w:val="both"/>
              <w:rPr>
                <w:b/>
                <w:bCs/>
                <w:sz w:val="22"/>
              </w:rPr>
            </w:pPr>
            <w:r>
              <w:rPr>
                <w:b/>
                <w:bCs/>
                <w:sz w:val="22"/>
              </w:rPr>
              <w:t>Nr. 1.1.</w:t>
            </w:r>
          </w:p>
        </w:tc>
        <w:tc>
          <w:tcPr>
            <w:tcW w:w="4634" w:type="dxa"/>
          </w:tcPr>
          <w:p w14:paraId="00EAAA66" w14:textId="22305703" w:rsidR="00284BC9" w:rsidRPr="00BD36CD" w:rsidRDefault="00C07910" w:rsidP="00177D5B">
            <w:pPr>
              <w:pStyle w:val="Standard"/>
              <w:jc w:val="both"/>
              <w:rPr>
                <w:sz w:val="22"/>
              </w:rPr>
            </w:pPr>
            <w:r>
              <w:rPr>
                <w:sz w:val="22"/>
              </w:rPr>
              <w:t>Vispārīgi</w:t>
            </w:r>
          </w:p>
        </w:tc>
        <w:tc>
          <w:tcPr>
            <w:tcW w:w="5859" w:type="dxa"/>
          </w:tcPr>
          <w:p w14:paraId="315CEC1D" w14:textId="7534E593" w:rsidR="00FE69DD" w:rsidRPr="00FE69DD" w:rsidRDefault="00FE69DD" w:rsidP="00FE69DD">
            <w:pPr>
              <w:pStyle w:val="Standard"/>
              <w:tabs>
                <w:tab w:val="left" w:pos="1085"/>
              </w:tabs>
              <w:jc w:val="both"/>
              <w:rPr>
                <w:color w:val="000000" w:themeColor="text1"/>
              </w:rPr>
            </w:pPr>
            <w:r w:rsidRPr="00FE69DD">
              <w:rPr>
                <w:color w:val="000000" w:themeColor="text1"/>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54DAF3C5" w14:textId="77777777" w:rsidR="00FE69DD" w:rsidRPr="00FE69DD" w:rsidRDefault="00FE69DD" w:rsidP="00FE69DD">
            <w:pPr>
              <w:pStyle w:val="Standard"/>
              <w:tabs>
                <w:tab w:val="left" w:pos="1085"/>
              </w:tabs>
              <w:jc w:val="both"/>
              <w:rPr>
                <w:color w:val="000000" w:themeColor="text1"/>
              </w:rPr>
            </w:pPr>
            <w:r w:rsidRPr="00FE69DD">
              <w:rPr>
                <w:color w:val="000000" w:themeColor="text1"/>
              </w:rPr>
              <w:t xml:space="preserve">1.1.1. ir saistītas ar projekta īstenošanu, </w:t>
            </w:r>
          </w:p>
          <w:p w14:paraId="6EC6A13C" w14:textId="77777777" w:rsidR="00FE69DD" w:rsidRPr="00FE69DD" w:rsidRDefault="00FE69DD" w:rsidP="00FE69DD">
            <w:pPr>
              <w:pStyle w:val="Standard"/>
              <w:tabs>
                <w:tab w:val="left" w:pos="1085"/>
              </w:tabs>
              <w:jc w:val="both"/>
              <w:rPr>
                <w:color w:val="000000" w:themeColor="text1"/>
              </w:rPr>
            </w:pPr>
            <w:r w:rsidRPr="00FE69DD">
              <w:rPr>
                <w:color w:val="000000" w:themeColor="text1"/>
              </w:rPr>
              <w:t xml:space="preserve">1.1.2. ir nepieciešamas projekta īstenošanai (projektā norādīto darbību īstenošanai, mērķa grupas vajadzību nodrošināšanai, definētās problēmas risināšanai) un izvērtēta to lietderība, </w:t>
            </w:r>
          </w:p>
          <w:p w14:paraId="4597CEF1" w14:textId="55245E60" w:rsidR="00284BC9" w:rsidRPr="003109DF" w:rsidRDefault="00FE69DD" w:rsidP="00FE69DD">
            <w:pPr>
              <w:pStyle w:val="Standard"/>
              <w:tabs>
                <w:tab w:val="left" w:pos="1085"/>
              </w:tabs>
              <w:jc w:val="both"/>
              <w:rPr>
                <w:color w:val="000000" w:themeColor="text1"/>
              </w:rPr>
            </w:pPr>
            <w:r w:rsidRPr="00FE69DD">
              <w:rPr>
                <w:color w:val="000000" w:themeColor="text1"/>
              </w:rPr>
              <w:t>1.1.3. nodrošina projektā izvirzītā mērķa un rādītāju sasniegšanu.</w:t>
            </w:r>
          </w:p>
        </w:tc>
        <w:tc>
          <w:tcPr>
            <w:tcW w:w="3543" w:type="dxa"/>
          </w:tcPr>
          <w:p w14:paraId="6BEABCC1" w14:textId="7F175CA4" w:rsidR="00284BC9" w:rsidRPr="00BD36CD" w:rsidRDefault="00FE69DD" w:rsidP="00177D5B">
            <w:pPr>
              <w:pStyle w:val="Standard"/>
              <w:jc w:val="both"/>
              <w:rPr>
                <w:sz w:val="22"/>
              </w:rPr>
            </w:pPr>
            <w:r>
              <w:rPr>
                <w:sz w:val="22"/>
              </w:rPr>
              <w:t xml:space="preserve">Lūdzam iekļaut 1.1. vienoto kritēriju saskaņā ar </w:t>
            </w:r>
            <w:r w:rsidR="003B51A5">
              <w:rPr>
                <w:sz w:val="22"/>
              </w:rPr>
              <w:t xml:space="preserve">2024. gada 11. aprīlī Eiropas Savienības fondu 2021.–2027. gada </w:t>
            </w:r>
            <w:r w:rsidR="00B2403B">
              <w:rPr>
                <w:sz w:val="22"/>
              </w:rPr>
              <w:t>plānošanas perioda Uzraudzības komitej</w:t>
            </w:r>
            <w:r w:rsidR="00462680">
              <w:rPr>
                <w:sz w:val="22"/>
              </w:rPr>
              <w:t xml:space="preserve">ā apstiprinātajiem </w:t>
            </w:r>
            <w:r w:rsidR="00B96861" w:rsidRPr="00B96861">
              <w:rPr>
                <w:sz w:val="22"/>
              </w:rPr>
              <w:t>Eiropas Reģionālās attīstības fonda, Eiropas Sociālā fonda plus, Kohēzijas fonda un Taisnīgas pārkārtošanās fonda projektu iesniegumu atlases metodikas 2021.–2027.</w:t>
            </w:r>
            <w:r w:rsidR="00107F7F">
              <w:rPr>
                <w:sz w:val="22"/>
              </w:rPr>
              <w:t xml:space="preserve"> </w:t>
            </w:r>
            <w:r w:rsidR="00B96861" w:rsidRPr="00B96861">
              <w:rPr>
                <w:sz w:val="22"/>
              </w:rPr>
              <w:t>gadam</w:t>
            </w:r>
            <w:r w:rsidR="00B96861">
              <w:rPr>
                <w:sz w:val="22"/>
              </w:rPr>
              <w:t xml:space="preserve"> grozījumiem.</w:t>
            </w:r>
          </w:p>
        </w:tc>
      </w:tr>
      <w:tr w:rsidR="00CE0989" w:rsidRPr="00430503" w14:paraId="6D4B6E25" w14:textId="77777777" w:rsidTr="00CE0989">
        <w:tc>
          <w:tcPr>
            <w:tcW w:w="508" w:type="dxa"/>
          </w:tcPr>
          <w:p w14:paraId="44B426E0" w14:textId="77777777" w:rsidR="00A57181" w:rsidRPr="00BD36CD" w:rsidRDefault="00A57181" w:rsidP="00A57181">
            <w:pPr>
              <w:pStyle w:val="Standard"/>
              <w:numPr>
                <w:ilvl w:val="0"/>
                <w:numId w:val="13"/>
              </w:numPr>
              <w:ind w:hanging="1049"/>
              <w:jc w:val="center"/>
              <w:rPr>
                <w:rFonts w:cs="Times New Roman"/>
                <w:sz w:val="22"/>
              </w:rPr>
            </w:pPr>
          </w:p>
        </w:tc>
        <w:tc>
          <w:tcPr>
            <w:tcW w:w="1049" w:type="dxa"/>
          </w:tcPr>
          <w:p w14:paraId="4E442DC0" w14:textId="3BBD3F13" w:rsidR="00A57181" w:rsidRPr="00BD36CD" w:rsidRDefault="00F95150" w:rsidP="00177D5B">
            <w:pPr>
              <w:pStyle w:val="Standard"/>
              <w:jc w:val="both"/>
              <w:rPr>
                <w:rFonts w:cs="Times New Roman"/>
                <w:b/>
                <w:bCs/>
                <w:sz w:val="22"/>
              </w:rPr>
            </w:pPr>
            <w:r w:rsidRPr="00BD36CD">
              <w:rPr>
                <w:rFonts w:cs="Times New Roman"/>
                <w:b/>
                <w:bCs/>
                <w:sz w:val="22"/>
              </w:rPr>
              <w:t>Nr. 2.</w:t>
            </w:r>
            <w:r w:rsidR="00205CF0">
              <w:rPr>
                <w:rFonts w:cs="Times New Roman"/>
                <w:b/>
                <w:bCs/>
                <w:sz w:val="22"/>
              </w:rPr>
              <w:t>6.3</w:t>
            </w:r>
            <w:r w:rsidR="002F1149" w:rsidRPr="00BD36CD">
              <w:rPr>
                <w:rFonts w:cs="Times New Roman"/>
                <w:b/>
                <w:bCs/>
                <w:sz w:val="22"/>
              </w:rPr>
              <w:t>.</w:t>
            </w:r>
          </w:p>
        </w:tc>
        <w:tc>
          <w:tcPr>
            <w:tcW w:w="4634" w:type="dxa"/>
          </w:tcPr>
          <w:p w14:paraId="289BF871" w14:textId="7FF7CE6A" w:rsidR="00A57181" w:rsidRPr="00BD36CD" w:rsidRDefault="00BD36CD" w:rsidP="00177D5B">
            <w:pPr>
              <w:pStyle w:val="Standard"/>
              <w:jc w:val="both"/>
              <w:rPr>
                <w:rFonts w:cs="Times New Roman"/>
                <w:sz w:val="22"/>
                <w:highlight w:val="yellow"/>
              </w:rPr>
            </w:pPr>
            <w:r w:rsidRPr="00BD36CD">
              <w:rPr>
                <w:rFonts w:cs="Times New Roman"/>
                <w:sz w:val="22"/>
              </w:rPr>
              <w:t>Projektā veikts siltumnīcefekta gāzu ietaupījuma apjoma aprēķins (ja attiecināms).</w:t>
            </w:r>
          </w:p>
        </w:tc>
        <w:tc>
          <w:tcPr>
            <w:tcW w:w="5859" w:type="dxa"/>
          </w:tcPr>
          <w:p w14:paraId="0296CACA" w14:textId="599195A0" w:rsidR="00A57181" w:rsidRPr="00430503" w:rsidRDefault="00BD36CD" w:rsidP="00177D5B">
            <w:pPr>
              <w:pStyle w:val="Standard"/>
              <w:jc w:val="both"/>
              <w:rPr>
                <w:sz w:val="22"/>
                <w:highlight w:val="yellow"/>
              </w:rPr>
            </w:pPr>
            <w:r w:rsidRPr="003109DF">
              <w:rPr>
                <w:color w:val="000000" w:themeColor="text1"/>
              </w:rPr>
              <w:t>Projektā veikts siltumnīcefekta gāzu</w:t>
            </w:r>
            <w:r>
              <w:rPr>
                <w:color w:val="000000" w:themeColor="text1"/>
              </w:rPr>
              <w:t xml:space="preserve"> emisiju</w:t>
            </w:r>
            <w:r w:rsidRPr="003109DF">
              <w:rPr>
                <w:color w:val="000000" w:themeColor="text1"/>
              </w:rPr>
              <w:t xml:space="preserve"> ietaupījuma apjoma aprēķins (ja attiecināms).</w:t>
            </w:r>
          </w:p>
        </w:tc>
        <w:tc>
          <w:tcPr>
            <w:tcW w:w="3543" w:type="dxa"/>
          </w:tcPr>
          <w:p w14:paraId="6DEE62A6" w14:textId="4BB315F1" w:rsidR="00A57181" w:rsidRPr="00BD36CD" w:rsidRDefault="00BD36CD" w:rsidP="00177D5B">
            <w:pPr>
              <w:pStyle w:val="Standard"/>
              <w:jc w:val="both"/>
              <w:rPr>
                <w:rFonts w:cs="Times New Roman"/>
                <w:sz w:val="22"/>
              </w:rPr>
            </w:pPr>
            <w:r w:rsidRPr="00BD36CD">
              <w:rPr>
                <w:rFonts w:cs="Times New Roman"/>
                <w:sz w:val="22"/>
              </w:rPr>
              <w:t>Lūdzam tehniski papildināt ar vārdu “emisiju”.</w:t>
            </w:r>
          </w:p>
        </w:tc>
      </w:tr>
      <w:tr w:rsidR="00CE0989" w:rsidRPr="00430503" w14:paraId="133481CC" w14:textId="77777777" w:rsidTr="00CE0989">
        <w:tc>
          <w:tcPr>
            <w:tcW w:w="508" w:type="dxa"/>
          </w:tcPr>
          <w:p w14:paraId="1879D9FC" w14:textId="77777777" w:rsidR="00F95150" w:rsidRPr="00EC7BF2" w:rsidRDefault="00F95150" w:rsidP="00EC7BF2">
            <w:pPr>
              <w:pStyle w:val="Standard"/>
              <w:numPr>
                <w:ilvl w:val="0"/>
                <w:numId w:val="13"/>
              </w:numPr>
              <w:ind w:hanging="1049"/>
              <w:rPr>
                <w:rFonts w:cs="Times New Roman"/>
                <w:sz w:val="22"/>
              </w:rPr>
            </w:pPr>
          </w:p>
        </w:tc>
        <w:tc>
          <w:tcPr>
            <w:tcW w:w="1049" w:type="dxa"/>
          </w:tcPr>
          <w:p w14:paraId="15AC65A7" w14:textId="20A9780F" w:rsidR="00F95150" w:rsidRPr="00EC7BF2" w:rsidRDefault="00F95150" w:rsidP="00EC7BF2">
            <w:pPr>
              <w:pStyle w:val="Standard"/>
              <w:rPr>
                <w:rFonts w:cs="Times New Roman"/>
                <w:b/>
                <w:bCs/>
                <w:sz w:val="22"/>
              </w:rPr>
            </w:pPr>
            <w:r w:rsidRPr="00EC7BF2">
              <w:rPr>
                <w:rFonts w:cs="Times New Roman"/>
                <w:b/>
                <w:bCs/>
                <w:sz w:val="22"/>
              </w:rPr>
              <w:t xml:space="preserve">Nr. </w:t>
            </w:r>
            <w:r w:rsidR="00BD36CD" w:rsidRPr="00EC7BF2">
              <w:rPr>
                <w:rFonts w:cs="Times New Roman"/>
                <w:b/>
                <w:bCs/>
                <w:sz w:val="22"/>
              </w:rPr>
              <w:t>3.1.</w:t>
            </w:r>
          </w:p>
        </w:tc>
        <w:tc>
          <w:tcPr>
            <w:tcW w:w="4634" w:type="dxa"/>
          </w:tcPr>
          <w:tbl>
            <w:tblPr>
              <w:tblpPr w:leftFromText="180" w:rightFromText="180" w:vertAnchor="page" w:horzAnchor="margin" w:tblpY="86"/>
              <w:tblOverlap w:val="neve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841"/>
              <w:gridCol w:w="883"/>
            </w:tblGrid>
            <w:tr w:rsidR="00EC7BF2" w:rsidRPr="00EC7BF2" w14:paraId="1EA3EC46" w14:textId="77777777" w:rsidTr="00D07DFB">
              <w:trPr>
                <w:trHeight w:val="343"/>
              </w:trPr>
              <w:tc>
                <w:tcPr>
                  <w:tcW w:w="666" w:type="dxa"/>
                  <w:tcBorders>
                    <w:top w:val="single" w:sz="4" w:space="0" w:color="auto"/>
                    <w:left w:val="single" w:sz="4" w:space="0" w:color="auto"/>
                    <w:right w:val="single" w:sz="4" w:space="0" w:color="auto"/>
                  </w:tcBorders>
                  <w:shd w:val="clear" w:color="auto" w:fill="auto"/>
                  <w:vAlign w:val="center"/>
                </w:tcPr>
                <w:p w14:paraId="5E5B3E99" w14:textId="77777777" w:rsidR="00EC7BF2" w:rsidRPr="00EC7BF2" w:rsidRDefault="00EC7BF2" w:rsidP="00EC7BF2">
                  <w:pPr>
                    <w:jc w:val="center"/>
                    <w:rPr>
                      <w:b/>
                      <w:bCs/>
                      <w:color w:val="000000" w:themeColor="text1"/>
                      <w:sz w:val="20"/>
                      <w:szCs w:val="18"/>
                    </w:rPr>
                  </w:pPr>
                  <w:r w:rsidRPr="00EC7BF2">
                    <w:rPr>
                      <w:b/>
                      <w:bCs/>
                      <w:color w:val="000000" w:themeColor="text1"/>
                      <w:sz w:val="20"/>
                      <w:szCs w:val="18"/>
                    </w:rPr>
                    <w:t>3.1.</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14:paraId="6D7D63AC" w14:textId="77777777" w:rsidR="00EC7BF2" w:rsidRPr="00EC7BF2" w:rsidRDefault="00EC7BF2" w:rsidP="00EC7BF2">
                  <w:pPr>
                    <w:rPr>
                      <w:rFonts w:eastAsia="Calibri"/>
                      <w:color w:val="000000" w:themeColor="text1"/>
                      <w:sz w:val="20"/>
                      <w:szCs w:val="18"/>
                      <w:highlight w:val="yellow"/>
                    </w:rPr>
                  </w:pPr>
                  <w:r w:rsidRPr="00EC7BF2">
                    <w:rPr>
                      <w:b/>
                      <w:bCs/>
                      <w:color w:val="000000" w:themeColor="text1"/>
                      <w:sz w:val="20"/>
                      <w:szCs w:val="18"/>
                      <w:shd w:val="clear" w:color="auto" w:fill="FFFFFF"/>
                    </w:rPr>
                    <w:t>Vidē nonākošā piesārņojuma samazinājums</w:t>
                  </w:r>
                  <w:r w:rsidRPr="00EC7BF2">
                    <w:rPr>
                      <w:color w:val="000000" w:themeColor="text1"/>
                      <w:sz w:val="20"/>
                      <w:szCs w:val="18"/>
                      <w:shd w:val="clear" w:color="auto" w:fill="FFFFFF"/>
                    </w:rPr>
                    <w:t xml:space="preserve"> (izteikts kā slāpekļa un fosfora piesārņojuma samazinājums (%) pēc projekta īstenošanas) – projekta rezultātā no notekūdeņu attīrīšanas iekārtām izplūstošajos attīrītajos notekūdeņos gada vidējās piesārņojošo vielu koncentrācijas nodrošina:</w:t>
                  </w:r>
                </w:p>
              </w:tc>
              <w:tc>
                <w:tcPr>
                  <w:tcW w:w="851" w:type="dxa"/>
                  <w:tcBorders>
                    <w:top w:val="single" w:sz="4" w:space="0" w:color="auto"/>
                    <w:left w:val="single" w:sz="4" w:space="0" w:color="auto"/>
                    <w:right w:val="single" w:sz="4" w:space="0" w:color="auto"/>
                  </w:tcBorders>
                  <w:shd w:val="clear" w:color="auto" w:fill="auto"/>
                  <w:vAlign w:val="center"/>
                </w:tcPr>
                <w:p w14:paraId="7E65B37E" w14:textId="77777777" w:rsidR="00EC7BF2" w:rsidRPr="00EC7BF2" w:rsidRDefault="00EC7BF2" w:rsidP="00EC7BF2">
                  <w:pPr>
                    <w:jc w:val="center"/>
                    <w:rPr>
                      <w:color w:val="000000" w:themeColor="text1"/>
                      <w:sz w:val="20"/>
                      <w:szCs w:val="18"/>
                      <w:highlight w:val="yellow"/>
                    </w:rPr>
                  </w:pPr>
                  <w:r w:rsidRPr="00EC7BF2">
                    <w:rPr>
                      <w:color w:val="000000" w:themeColor="text1"/>
                      <w:sz w:val="20"/>
                      <w:szCs w:val="18"/>
                    </w:rPr>
                    <w:t>Kritērijs dod papildu punktus</w:t>
                  </w:r>
                </w:p>
              </w:tc>
            </w:tr>
            <w:tr w:rsidR="00EC7BF2" w:rsidRPr="00EC7BF2" w14:paraId="4A136D3D" w14:textId="77777777" w:rsidTr="00D07DFB">
              <w:trPr>
                <w:trHeight w:val="340"/>
              </w:trPr>
              <w:tc>
                <w:tcPr>
                  <w:tcW w:w="666" w:type="dxa"/>
                  <w:tcBorders>
                    <w:left w:val="single" w:sz="4" w:space="0" w:color="auto"/>
                    <w:right w:val="single" w:sz="4" w:space="0" w:color="auto"/>
                  </w:tcBorders>
                  <w:shd w:val="clear" w:color="auto" w:fill="auto"/>
                  <w:vAlign w:val="center"/>
                </w:tcPr>
                <w:p w14:paraId="11AC0AE1" w14:textId="77777777" w:rsidR="00EC7BF2" w:rsidRPr="00EC7BF2" w:rsidRDefault="00EC7BF2" w:rsidP="00EC7BF2">
                  <w:pPr>
                    <w:jc w:val="center"/>
                    <w:rPr>
                      <w:color w:val="000000" w:themeColor="text1"/>
                      <w:sz w:val="20"/>
                      <w:szCs w:val="18"/>
                    </w:rPr>
                  </w:pPr>
                  <w:r w:rsidRPr="00EC7BF2">
                    <w:rPr>
                      <w:color w:val="000000" w:themeColor="text1"/>
                      <w:sz w:val="20"/>
                      <w:szCs w:val="18"/>
                    </w:rPr>
                    <w:lastRenderedPageBreak/>
                    <w:t>3.1.1.</w:t>
                  </w:r>
                </w:p>
              </w:tc>
              <w:tc>
                <w:tcPr>
                  <w:tcW w:w="2873" w:type="dxa"/>
                  <w:tcBorders>
                    <w:left w:val="single" w:sz="4" w:space="0" w:color="auto"/>
                    <w:right w:val="single" w:sz="4" w:space="0" w:color="auto"/>
                  </w:tcBorders>
                  <w:shd w:val="clear" w:color="auto" w:fill="auto"/>
                  <w:vAlign w:val="center"/>
                </w:tcPr>
                <w:p w14:paraId="102A1E3A" w14:textId="77777777" w:rsidR="00EC7BF2" w:rsidRPr="00EC7BF2" w:rsidRDefault="00EC7BF2" w:rsidP="00EC7BF2">
                  <w:pPr>
                    <w:rPr>
                      <w:b/>
                      <w:bCs/>
                      <w:color w:val="000000" w:themeColor="text1"/>
                      <w:sz w:val="20"/>
                      <w:szCs w:val="18"/>
                      <w:shd w:val="clear" w:color="auto" w:fill="FFFFFF"/>
                    </w:rPr>
                  </w:pPr>
                  <w:r w:rsidRPr="00EC7BF2">
                    <w:rPr>
                      <w:color w:val="000000" w:themeColor="text1"/>
                      <w:sz w:val="20"/>
                      <w:szCs w:val="18"/>
                      <w:shd w:val="clear" w:color="auto" w:fill="FFFFFF"/>
                    </w:rPr>
                    <w:t>79,0 – 79,9% slāpekļa un 87,5% fosfora samazinājumu</w:t>
                  </w:r>
                </w:p>
              </w:tc>
              <w:tc>
                <w:tcPr>
                  <w:tcW w:w="851" w:type="dxa"/>
                  <w:tcBorders>
                    <w:left w:val="single" w:sz="4" w:space="0" w:color="auto"/>
                    <w:right w:val="single" w:sz="4" w:space="0" w:color="auto"/>
                  </w:tcBorders>
                  <w:shd w:val="clear" w:color="auto" w:fill="auto"/>
                  <w:vAlign w:val="center"/>
                </w:tcPr>
                <w:p w14:paraId="3AD64B4C" w14:textId="77777777" w:rsidR="00EC7BF2" w:rsidRPr="00EC7BF2" w:rsidRDefault="00EC7BF2" w:rsidP="00EC7BF2">
                  <w:pPr>
                    <w:jc w:val="center"/>
                    <w:rPr>
                      <w:color w:val="000000" w:themeColor="text1"/>
                      <w:sz w:val="20"/>
                      <w:szCs w:val="18"/>
                    </w:rPr>
                  </w:pPr>
                  <w:r w:rsidRPr="00EC7BF2">
                    <w:rPr>
                      <w:color w:val="000000" w:themeColor="text1"/>
                      <w:sz w:val="20"/>
                      <w:szCs w:val="18"/>
                    </w:rPr>
                    <w:t>1</w:t>
                  </w:r>
                </w:p>
              </w:tc>
            </w:tr>
            <w:tr w:rsidR="00EC7BF2" w:rsidRPr="00EC7BF2" w14:paraId="3FA465AE" w14:textId="77777777" w:rsidTr="00D07DFB">
              <w:trPr>
                <w:trHeight w:val="340"/>
              </w:trPr>
              <w:tc>
                <w:tcPr>
                  <w:tcW w:w="666" w:type="dxa"/>
                  <w:tcBorders>
                    <w:left w:val="single" w:sz="4" w:space="0" w:color="auto"/>
                    <w:right w:val="single" w:sz="4" w:space="0" w:color="auto"/>
                  </w:tcBorders>
                  <w:shd w:val="clear" w:color="auto" w:fill="auto"/>
                  <w:vAlign w:val="center"/>
                </w:tcPr>
                <w:p w14:paraId="665293B3" w14:textId="77777777" w:rsidR="00EC7BF2" w:rsidRPr="00EC7BF2" w:rsidRDefault="00EC7BF2" w:rsidP="00EC7BF2">
                  <w:pPr>
                    <w:jc w:val="center"/>
                    <w:rPr>
                      <w:color w:val="000000" w:themeColor="text1"/>
                      <w:sz w:val="20"/>
                      <w:szCs w:val="18"/>
                    </w:rPr>
                  </w:pPr>
                  <w:r w:rsidRPr="00EC7BF2">
                    <w:rPr>
                      <w:color w:val="000000" w:themeColor="text1"/>
                      <w:sz w:val="20"/>
                      <w:szCs w:val="18"/>
                    </w:rPr>
                    <w:t>3.1.2.</w:t>
                  </w:r>
                </w:p>
              </w:tc>
              <w:tc>
                <w:tcPr>
                  <w:tcW w:w="2873" w:type="dxa"/>
                  <w:tcBorders>
                    <w:left w:val="single" w:sz="4" w:space="0" w:color="auto"/>
                    <w:right w:val="single" w:sz="4" w:space="0" w:color="auto"/>
                  </w:tcBorders>
                  <w:shd w:val="clear" w:color="auto" w:fill="auto"/>
                  <w:vAlign w:val="center"/>
                </w:tcPr>
                <w:p w14:paraId="08F9325E" w14:textId="77777777" w:rsidR="00EC7BF2" w:rsidRPr="00EC7BF2" w:rsidRDefault="00EC7BF2" w:rsidP="00EC7BF2">
                  <w:pPr>
                    <w:rPr>
                      <w:b/>
                      <w:bCs/>
                      <w:color w:val="000000" w:themeColor="text1"/>
                      <w:sz w:val="20"/>
                      <w:szCs w:val="18"/>
                      <w:shd w:val="clear" w:color="auto" w:fill="FFFFFF"/>
                    </w:rPr>
                  </w:pPr>
                  <w:r w:rsidRPr="00EC7BF2">
                    <w:rPr>
                      <w:color w:val="000000" w:themeColor="text1"/>
                      <w:sz w:val="20"/>
                      <w:szCs w:val="18"/>
                      <w:shd w:val="clear" w:color="auto" w:fill="FFFFFF"/>
                    </w:rPr>
                    <w:t>80,0% slāpekļa un 87,6 – 92,9% fosfora samazinājumu</w:t>
                  </w:r>
                </w:p>
              </w:tc>
              <w:tc>
                <w:tcPr>
                  <w:tcW w:w="851" w:type="dxa"/>
                  <w:tcBorders>
                    <w:left w:val="single" w:sz="4" w:space="0" w:color="auto"/>
                    <w:right w:val="single" w:sz="4" w:space="0" w:color="auto"/>
                  </w:tcBorders>
                  <w:shd w:val="clear" w:color="auto" w:fill="auto"/>
                  <w:vAlign w:val="center"/>
                </w:tcPr>
                <w:p w14:paraId="5B0DE8AF" w14:textId="77777777" w:rsidR="00EC7BF2" w:rsidRPr="00EC7BF2" w:rsidRDefault="00EC7BF2" w:rsidP="00EC7BF2">
                  <w:pPr>
                    <w:jc w:val="center"/>
                    <w:rPr>
                      <w:color w:val="000000" w:themeColor="text1"/>
                      <w:sz w:val="20"/>
                      <w:szCs w:val="18"/>
                    </w:rPr>
                  </w:pPr>
                  <w:r w:rsidRPr="00EC7BF2">
                    <w:rPr>
                      <w:color w:val="000000" w:themeColor="text1"/>
                      <w:sz w:val="20"/>
                      <w:szCs w:val="18"/>
                    </w:rPr>
                    <w:t>3</w:t>
                  </w:r>
                </w:p>
              </w:tc>
            </w:tr>
            <w:tr w:rsidR="00EC7BF2" w:rsidRPr="00EC7BF2" w14:paraId="549DD7DD" w14:textId="77777777" w:rsidTr="00D07DFB">
              <w:trPr>
                <w:trHeight w:val="340"/>
              </w:trPr>
              <w:tc>
                <w:tcPr>
                  <w:tcW w:w="666" w:type="dxa"/>
                  <w:tcBorders>
                    <w:left w:val="single" w:sz="4" w:space="0" w:color="auto"/>
                    <w:bottom w:val="single" w:sz="4" w:space="0" w:color="auto"/>
                    <w:right w:val="single" w:sz="4" w:space="0" w:color="auto"/>
                  </w:tcBorders>
                  <w:shd w:val="clear" w:color="auto" w:fill="auto"/>
                  <w:vAlign w:val="center"/>
                </w:tcPr>
                <w:p w14:paraId="20DD9177" w14:textId="77777777" w:rsidR="00EC7BF2" w:rsidRPr="00EC7BF2" w:rsidRDefault="00EC7BF2" w:rsidP="00EC7BF2">
                  <w:pPr>
                    <w:jc w:val="center"/>
                    <w:rPr>
                      <w:color w:val="000000" w:themeColor="text1"/>
                      <w:sz w:val="20"/>
                      <w:szCs w:val="18"/>
                    </w:rPr>
                  </w:pPr>
                  <w:r w:rsidRPr="00EC7BF2">
                    <w:rPr>
                      <w:color w:val="000000" w:themeColor="text1"/>
                      <w:sz w:val="20"/>
                      <w:szCs w:val="18"/>
                    </w:rPr>
                    <w:t>3.1.3.</w:t>
                  </w:r>
                </w:p>
              </w:tc>
              <w:tc>
                <w:tcPr>
                  <w:tcW w:w="2873" w:type="dxa"/>
                  <w:tcBorders>
                    <w:left w:val="single" w:sz="4" w:space="0" w:color="auto"/>
                    <w:right w:val="single" w:sz="4" w:space="0" w:color="auto"/>
                  </w:tcBorders>
                  <w:shd w:val="clear" w:color="auto" w:fill="auto"/>
                  <w:vAlign w:val="center"/>
                </w:tcPr>
                <w:p w14:paraId="6F22401E" w14:textId="77777777" w:rsidR="00EC7BF2" w:rsidRPr="00EC7BF2" w:rsidRDefault="00EC7BF2" w:rsidP="00EC7BF2">
                  <w:pPr>
                    <w:rPr>
                      <w:b/>
                      <w:bCs/>
                      <w:color w:val="000000" w:themeColor="text1"/>
                      <w:sz w:val="20"/>
                      <w:szCs w:val="18"/>
                      <w:shd w:val="clear" w:color="auto" w:fill="FFFFFF"/>
                    </w:rPr>
                  </w:pPr>
                  <w:r w:rsidRPr="00EC7BF2">
                    <w:rPr>
                      <w:color w:val="000000" w:themeColor="text1"/>
                      <w:sz w:val="20"/>
                      <w:szCs w:val="18"/>
                      <w:shd w:val="clear" w:color="auto" w:fill="FFFFFF"/>
                    </w:rPr>
                    <w:t>80,0% vai vairāk slāpekļa un 93,0% vai vairāk fosfora samazinājumu</w:t>
                  </w:r>
                </w:p>
              </w:tc>
              <w:tc>
                <w:tcPr>
                  <w:tcW w:w="851" w:type="dxa"/>
                  <w:tcBorders>
                    <w:left w:val="single" w:sz="4" w:space="0" w:color="auto"/>
                    <w:right w:val="single" w:sz="4" w:space="0" w:color="auto"/>
                  </w:tcBorders>
                  <w:shd w:val="clear" w:color="auto" w:fill="auto"/>
                  <w:vAlign w:val="center"/>
                </w:tcPr>
                <w:p w14:paraId="1002C074" w14:textId="77777777" w:rsidR="00EC7BF2" w:rsidRPr="00EC7BF2" w:rsidRDefault="00EC7BF2" w:rsidP="00EC7BF2">
                  <w:pPr>
                    <w:jc w:val="center"/>
                    <w:rPr>
                      <w:color w:val="000000" w:themeColor="text1"/>
                      <w:sz w:val="20"/>
                      <w:szCs w:val="18"/>
                    </w:rPr>
                  </w:pPr>
                  <w:r w:rsidRPr="00EC7BF2">
                    <w:rPr>
                      <w:color w:val="000000" w:themeColor="text1"/>
                      <w:sz w:val="20"/>
                      <w:szCs w:val="18"/>
                    </w:rPr>
                    <w:t>5</w:t>
                  </w:r>
                </w:p>
              </w:tc>
            </w:tr>
            <w:tr w:rsidR="00EC7BF2" w:rsidRPr="00EC7BF2" w14:paraId="4FBB83C2" w14:textId="77777777" w:rsidTr="00D07DFB">
              <w:trPr>
                <w:trHeight w:val="340"/>
              </w:trPr>
              <w:tc>
                <w:tcPr>
                  <w:tcW w:w="666" w:type="dxa"/>
                  <w:tcBorders>
                    <w:left w:val="single" w:sz="4" w:space="0" w:color="auto"/>
                    <w:bottom w:val="single" w:sz="4" w:space="0" w:color="auto"/>
                    <w:right w:val="single" w:sz="4" w:space="0" w:color="auto"/>
                  </w:tcBorders>
                  <w:shd w:val="clear" w:color="auto" w:fill="auto"/>
                  <w:vAlign w:val="center"/>
                </w:tcPr>
                <w:p w14:paraId="466F1C31" w14:textId="77777777" w:rsidR="00EC7BF2" w:rsidRPr="00EC7BF2" w:rsidRDefault="00EC7BF2" w:rsidP="00EC7BF2">
                  <w:pPr>
                    <w:jc w:val="center"/>
                    <w:rPr>
                      <w:color w:val="538135" w:themeColor="accent6" w:themeShade="BF"/>
                      <w:sz w:val="20"/>
                      <w:szCs w:val="18"/>
                    </w:rPr>
                  </w:pPr>
                  <w:r w:rsidRPr="00EC7BF2">
                    <w:rPr>
                      <w:color w:val="000000" w:themeColor="text1"/>
                      <w:sz w:val="20"/>
                      <w:szCs w:val="18"/>
                    </w:rPr>
                    <w:t>3.1.4.</w:t>
                  </w:r>
                </w:p>
              </w:tc>
              <w:tc>
                <w:tcPr>
                  <w:tcW w:w="2873" w:type="dxa"/>
                  <w:tcBorders>
                    <w:left w:val="single" w:sz="4" w:space="0" w:color="auto"/>
                    <w:right w:val="single" w:sz="4" w:space="0" w:color="auto"/>
                  </w:tcBorders>
                  <w:shd w:val="clear" w:color="auto" w:fill="auto"/>
                  <w:vAlign w:val="center"/>
                </w:tcPr>
                <w:p w14:paraId="2F9954A6" w14:textId="77777777" w:rsidR="00EC7BF2" w:rsidRPr="00EC7BF2" w:rsidRDefault="00EC7BF2" w:rsidP="00EC7BF2">
                  <w:pPr>
                    <w:rPr>
                      <w:color w:val="000000" w:themeColor="text1"/>
                      <w:sz w:val="20"/>
                      <w:szCs w:val="18"/>
                      <w:shd w:val="clear" w:color="auto" w:fill="FFFFFF"/>
                    </w:rPr>
                  </w:pPr>
                  <w:r w:rsidRPr="00EC7BF2">
                    <w:rPr>
                      <w:color w:val="000000" w:themeColor="text1"/>
                      <w:sz w:val="20"/>
                      <w:szCs w:val="18"/>
                      <w:shd w:val="clear" w:color="auto" w:fill="FFFFFF"/>
                    </w:rPr>
                    <w:t>citu slāpekļa un fosfora samazinājumu, kas nenodrošina vismaz 3.1.1. apakškritērijā minēto samazinājumu</w:t>
                  </w:r>
                </w:p>
              </w:tc>
              <w:tc>
                <w:tcPr>
                  <w:tcW w:w="851" w:type="dxa"/>
                  <w:tcBorders>
                    <w:left w:val="single" w:sz="4" w:space="0" w:color="auto"/>
                    <w:right w:val="single" w:sz="4" w:space="0" w:color="auto"/>
                  </w:tcBorders>
                  <w:shd w:val="clear" w:color="auto" w:fill="auto"/>
                  <w:vAlign w:val="center"/>
                </w:tcPr>
                <w:p w14:paraId="28513DC5" w14:textId="77777777" w:rsidR="00EC7BF2" w:rsidRPr="00EC7BF2" w:rsidRDefault="00EC7BF2" w:rsidP="00EC7BF2">
                  <w:pPr>
                    <w:jc w:val="center"/>
                    <w:rPr>
                      <w:color w:val="000000" w:themeColor="text1"/>
                      <w:sz w:val="20"/>
                      <w:szCs w:val="18"/>
                    </w:rPr>
                  </w:pPr>
                  <w:r w:rsidRPr="00EC7BF2">
                    <w:rPr>
                      <w:color w:val="000000" w:themeColor="text1"/>
                      <w:sz w:val="20"/>
                      <w:szCs w:val="18"/>
                    </w:rPr>
                    <w:t>0</w:t>
                  </w:r>
                </w:p>
              </w:tc>
            </w:tr>
          </w:tbl>
          <w:p w14:paraId="11C467A0" w14:textId="480AC9BD" w:rsidR="00F95150" w:rsidRPr="00430503" w:rsidRDefault="00F95150" w:rsidP="00F95150">
            <w:pPr>
              <w:pStyle w:val="Standard"/>
              <w:jc w:val="both"/>
              <w:rPr>
                <w:rFonts w:cs="Times New Roman"/>
                <w:sz w:val="22"/>
                <w:highlight w:val="yellow"/>
              </w:rPr>
            </w:pPr>
          </w:p>
        </w:tc>
        <w:tc>
          <w:tcPr>
            <w:tcW w:w="5859" w:type="dxa"/>
          </w:tcPr>
          <w:tbl>
            <w:tblPr>
              <w:tblpPr w:leftFromText="180" w:rightFromText="180" w:horzAnchor="margin" w:tblpXSpec="center" w:tblpY="430"/>
              <w:tblOverlap w:val="never"/>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886"/>
              <w:gridCol w:w="931"/>
            </w:tblGrid>
            <w:tr w:rsidR="00D72306" w:rsidRPr="00D72306" w14:paraId="7A20EBAB" w14:textId="77777777" w:rsidTr="003B626F">
              <w:trPr>
                <w:trHeight w:val="981"/>
              </w:trPr>
              <w:tc>
                <w:tcPr>
                  <w:tcW w:w="701" w:type="dxa"/>
                  <w:tcBorders>
                    <w:top w:val="single" w:sz="4" w:space="0" w:color="auto"/>
                    <w:left w:val="single" w:sz="4" w:space="0" w:color="auto"/>
                    <w:right w:val="single" w:sz="4" w:space="0" w:color="auto"/>
                  </w:tcBorders>
                  <w:shd w:val="clear" w:color="auto" w:fill="auto"/>
                  <w:vAlign w:val="center"/>
                </w:tcPr>
                <w:p w14:paraId="47D64CF2" w14:textId="77777777" w:rsidR="00D72306" w:rsidRPr="00D72306" w:rsidRDefault="00D72306" w:rsidP="00D72306">
                  <w:pPr>
                    <w:jc w:val="center"/>
                    <w:rPr>
                      <w:b/>
                      <w:bCs/>
                      <w:color w:val="000000" w:themeColor="text1"/>
                      <w:sz w:val="20"/>
                      <w:szCs w:val="18"/>
                    </w:rPr>
                  </w:pPr>
                  <w:r w:rsidRPr="00D72306">
                    <w:rPr>
                      <w:b/>
                      <w:bCs/>
                      <w:color w:val="000000" w:themeColor="text1"/>
                      <w:sz w:val="20"/>
                      <w:szCs w:val="18"/>
                    </w:rPr>
                    <w:lastRenderedPageBreak/>
                    <w:t>3.1.</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0352C958" w14:textId="6947D909" w:rsidR="00D72306" w:rsidRPr="00D72306" w:rsidRDefault="00D72306" w:rsidP="00D72306">
                  <w:pPr>
                    <w:rPr>
                      <w:rFonts w:eastAsia="Calibri"/>
                      <w:color w:val="000000" w:themeColor="text1"/>
                      <w:sz w:val="20"/>
                      <w:szCs w:val="18"/>
                      <w:highlight w:val="yellow"/>
                    </w:rPr>
                  </w:pPr>
                  <w:r w:rsidRPr="00D72306">
                    <w:rPr>
                      <w:b/>
                      <w:bCs/>
                      <w:color w:val="000000" w:themeColor="text1"/>
                      <w:sz w:val="20"/>
                      <w:szCs w:val="18"/>
                      <w:shd w:val="clear" w:color="auto" w:fill="FFFFFF"/>
                    </w:rPr>
                    <w:t>Vidē nonākošā piesārņojuma samazinājums</w:t>
                  </w:r>
                  <w:r w:rsidRPr="00D72306">
                    <w:rPr>
                      <w:color w:val="000000" w:themeColor="text1"/>
                      <w:sz w:val="20"/>
                      <w:szCs w:val="18"/>
                      <w:shd w:val="clear" w:color="auto" w:fill="FFFFFF"/>
                    </w:rPr>
                    <w:t xml:space="preserve"> (izteikts kā slāpekļa un fosfora piesārņojuma samazinājums (%) pēc projekta īstenošanas) – projekta rezultātā no notekūdeņu attīrīšanas iekārtām izplūstošajos attīrītajos notekūdeņos gada vidējās piesārņojošo vielu koncentrācijas nodrošina</w:t>
                  </w:r>
                  <w:r w:rsidR="00955E78">
                    <w:rPr>
                      <w:rStyle w:val="FootnoteReference"/>
                      <w:color w:val="000000" w:themeColor="text1"/>
                      <w:sz w:val="20"/>
                      <w:szCs w:val="18"/>
                      <w:shd w:val="clear" w:color="auto" w:fill="FFFFFF"/>
                    </w:rPr>
                    <w:footnoteReference w:id="1"/>
                  </w:r>
                  <w:r w:rsidRPr="00D72306">
                    <w:rPr>
                      <w:color w:val="000000" w:themeColor="text1"/>
                      <w:sz w:val="20"/>
                      <w:szCs w:val="18"/>
                      <w:shd w:val="clear" w:color="auto" w:fill="FFFFFF"/>
                    </w:rPr>
                    <w:t>:</w:t>
                  </w:r>
                </w:p>
              </w:tc>
              <w:tc>
                <w:tcPr>
                  <w:tcW w:w="931" w:type="dxa"/>
                  <w:tcBorders>
                    <w:top w:val="single" w:sz="4" w:space="0" w:color="auto"/>
                    <w:left w:val="single" w:sz="4" w:space="0" w:color="auto"/>
                    <w:right w:val="single" w:sz="4" w:space="0" w:color="auto"/>
                  </w:tcBorders>
                  <w:shd w:val="clear" w:color="auto" w:fill="auto"/>
                  <w:vAlign w:val="center"/>
                </w:tcPr>
                <w:p w14:paraId="1A02D7E3" w14:textId="77777777" w:rsidR="00D72306" w:rsidRPr="00D72306" w:rsidRDefault="00D72306" w:rsidP="00D72306">
                  <w:pPr>
                    <w:jc w:val="center"/>
                    <w:rPr>
                      <w:color w:val="000000" w:themeColor="text1"/>
                      <w:sz w:val="20"/>
                      <w:szCs w:val="18"/>
                      <w:highlight w:val="yellow"/>
                    </w:rPr>
                  </w:pPr>
                  <w:r w:rsidRPr="00D72306">
                    <w:rPr>
                      <w:color w:val="000000" w:themeColor="text1"/>
                      <w:sz w:val="20"/>
                      <w:szCs w:val="18"/>
                    </w:rPr>
                    <w:t>Kritērijs dod papildu punktus</w:t>
                  </w:r>
                </w:p>
              </w:tc>
            </w:tr>
            <w:tr w:rsidR="00D72306" w:rsidRPr="00D72306" w14:paraId="66BFB45C" w14:textId="77777777" w:rsidTr="003B626F">
              <w:trPr>
                <w:trHeight w:val="972"/>
              </w:trPr>
              <w:tc>
                <w:tcPr>
                  <w:tcW w:w="701" w:type="dxa"/>
                  <w:tcBorders>
                    <w:left w:val="single" w:sz="4" w:space="0" w:color="auto"/>
                    <w:right w:val="single" w:sz="4" w:space="0" w:color="auto"/>
                  </w:tcBorders>
                  <w:shd w:val="clear" w:color="auto" w:fill="auto"/>
                  <w:vAlign w:val="center"/>
                </w:tcPr>
                <w:p w14:paraId="5BFDE58C" w14:textId="77777777" w:rsidR="00D72306" w:rsidRPr="00D72306" w:rsidRDefault="00D72306" w:rsidP="00D72306">
                  <w:pPr>
                    <w:jc w:val="center"/>
                    <w:rPr>
                      <w:color w:val="000000" w:themeColor="text1"/>
                      <w:sz w:val="20"/>
                      <w:szCs w:val="18"/>
                    </w:rPr>
                  </w:pPr>
                  <w:r w:rsidRPr="00D72306">
                    <w:rPr>
                      <w:color w:val="000000" w:themeColor="text1"/>
                      <w:sz w:val="20"/>
                      <w:szCs w:val="18"/>
                    </w:rPr>
                    <w:lastRenderedPageBreak/>
                    <w:t>3.1.1.</w:t>
                  </w:r>
                </w:p>
              </w:tc>
              <w:tc>
                <w:tcPr>
                  <w:tcW w:w="2886" w:type="dxa"/>
                  <w:tcBorders>
                    <w:left w:val="single" w:sz="4" w:space="0" w:color="auto"/>
                    <w:right w:val="single" w:sz="4" w:space="0" w:color="auto"/>
                  </w:tcBorders>
                  <w:shd w:val="clear" w:color="auto" w:fill="auto"/>
                  <w:vAlign w:val="center"/>
                </w:tcPr>
                <w:p w14:paraId="365C1163" w14:textId="3352E4C1" w:rsidR="00D72306" w:rsidRPr="00D72306" w:rsidRDefault="00D72306" w:rsidP="00D72306">
                  <w:pPr>
                    <w:rPr>
                      <w:b/>
                      <w:bCs/>
                      <w:color w:val="000000" w:themeColor="text1"/>
                      <w:sz w:val="20"/>
                      <w:szCs w:val="18"/>
                      <w:shd w:val="clear" w:color="auto" w:fill="FFFFFF"/>
                    </w:rPr>
                  </w:pPr>
                  <w:r w:rsidRPr="00D72306">
                    <w:rPr>
                      <w:color w:val="000000" w:themeColor="text1"/>
                      <w:sz w:val="20"/>
                      <w:szCs w:val="18"/>
                      <w:shd w:val="clear" w:color="auto" w:fill="FFFFFF"/>
                    </w:rPr>
                    <w:t>vismaz 80,0% slāpekļa un vismaz 87,5% fosfora samazinājumu</w:t>
                  </w:r>
                  <w:r w:rsidR="00504C9D">
                    <w:rPr>
                      <w:color w:val="000000" w:themeColor="text1"/>
                      <w:sz w:val="20"/>
                      <w:szCs w:val="18"/>
                      <w:shd w:val="clear" w:color="auto" w:fill="FFFFFF"/>
                    </w:rPr>
                    <w:t xml:space="preserve"> </w:t>
                  </w:r>
                  <w:r w:rsidR="00504C9D" w:rsidRPr="00504C9D">
                    <w:rPr>
                      <w:color w:val="000000" w:themeColor="text1"/>
                      <w:sz w:val="20"/>
                      <w:szCs w:val="18"/>
                      <w:shd w:val="clear" w:color="auto" w:fill="FFFFFF"/>
                    </w:rPr>
                    <w:t>(salīdzinājumā ar slāpekļa un fosfora piesārņojumu notekūdeņu attīrīšanas iekārtās ieplūstošajos notekūdeņos)</w:t>
                  </w:r>
                </w:p>
              </w:tc>
              <w:tc>
                <w:tcPr>
                  <w:tcW w:w="931" w:type="dxa"/>
                  <w:tcBorders>
                    <w:left w:val="single" w:sz="4" w:space="0" w:color="auto"/>
                    <w:right w:val="single" w:sz="4" w:space="0" w:color="auto"/>
                  </w:tcBorders>
                  <w:shd w:val="clear" w:color="auto" w:fill="auto"/>
                  <w:vAlign w:val="center"/>
                </w:tcPr>
                <w:p w14:paraId="0513E187" w14:textId="77777777" w:rsidR="00D72306" w:rsidRPr="00D72306" w:rsidRDefault="00D72306" w:rsidP="00D72306">
                  <w:pPr>
                    <w:jc w:val="center"/>
                    <w:rPr>
                      <w:color w:val="000000" w:themeColor="text1"/>
                      <w:sz w:val="20"/>
                      <w:szCs w:val="18"/>
                    </w:rPr>
                  </w:pPr>
                  <w:r w:rsidRPr="00D72306">
                    <w:rPr>
                      <w:color w:val="000000" w:themeColor="text1"/>
                      <w:sz w:val="20"/>
                      <w:szCs w:val="18"/>
                    </w:rPr>
                    <w:t>3</w:t>
                  </w:r>
                </w:p>
              </w:tc>
            </w:tr>
            <w:tr w:rsidR="00D72306" w:rsidRPr="00D72306" w14:paraId="5A151ED2" w14:textId="77777777" w:rsidTr="003B626F">
              <w:trPr>
                <w:trHeight w:val="972"/>
              </w:trPr>
              <w:tc>
                <w:tcPr>
                  <w:tcW w:w="701" w:type="dxa"/>
                  <w:tcBorders>
                    <w:left w:val="single" w:sz="4" w:space="0" w:color="auto"/>
                    <w:bottom w:val="single" w:sz="4" w:space="0" w:color="auto"/>
                    <w:right w:val="single" w:sz="4" w:space="0" w:color="auto"/>
                  </w:tcBorders>
                  <w:shd w:val="clear" w:color="auto" w:fill="auto"/>
                  <w:vAlign w:val="center"/>
                </w:tcPr>
                <w:p w14:paraId="63770FBA" w14:textId="77777777" w:rsidR="00D72306" w:rsidRPr="00D72306" w:rsidRDefault="00D72306" w:rsidP="00D72306">
                  <w:pPr>
                    <w:jc w:val="center"/>
                    <w:rPr>
                      <w:color w:val="538135" w:themeColor="accent6" w:themeShade="BF"/>
                      <w:sz w:val="20"/>
                      <w:szCs w:val="18"/>
                    </w:rPr>
                  </w:pPr>
                  <w:r w:rsidRPr="00D72306">
                    <w:rPr>
                      <w:color w:val="000000" w:themeColor="text1"/>
                      <w:sz w:val="20"/>
                      <w:szCs w:val="18"/>
                    </w:rPr>
                    <w:t>3.1.2.</w:t>
                  </w:r>
                </w:p>
              </w:tc>
              <w:tc>
                <w:tcPr>
                  <w:tcW w:w="2886" w:type="dxa"/>
                  <w:tcBorders>
                    <w:left w:val="single" w:sz="4" w:space="0" w:color="auto"/>
                    <w:right w:val="single" w:sz="4" w:space="0" w:color="auto"/>
                  </w:tcBorders>
                  <w:shd w:val="clear" w:color="auto" w:fill="auto"/>
                  <w:vAlign w:val="center"/>
                </w:tcPr>
                <w:p w14:paraId="69A33865" w14:textId="77777777" w:rsidR="00D72306" w:rsidRPr="00D72306" w:rsidRDefault="00D72306" w:rsidP="00D72306">
                  <w:pPr>
                    <w:rPr>
                      <w:color w:val="000000" w:themeColor="text1"/>
                      <w:sz w:val="20"/>
                      <w:szCs w:val="18"/>
                      <w:shd w:val="clear" w:color="auto" w:fill="FFFFFF"/>
                    </w:rPr>
                  </w:pPr>
                  <w:r w:rsidRPr="00D72306">
                    <w:rPr>
                      <w:color w:val="000000" w:themeColor="text1"/>
                      <w:sz w:val="20"/>
                      <w:szCs w:val="18"/>
                      <w:shd w:val="clear" w:color="auto" w:fill="FFFFFF"/>
                    </w:rPr>
                    <w:t>citu slāpekļa un fosfora samazinājumu, kas nenodrošina vismaz 3.1.1. apakškritērijā minēto samazinājumu</w:t>
                  </w:r>
                </w:p>
              </w:tc>
              <w:tc>
                <w:tcPr>
                  <w:tcW w:w="931" w:type="dxa"/>
                  <w:tcBorders>
                    <w:left w:val="single" w:sz="4" w:space="0" w:color="auto"/>
                    <w:right w:val="single" w:sz="4" w:space="0" w:color="auto"/>
                  </w:tcBorders>
                  <w:shd w:val="clear" w:color="auto" w:fill="auto"/>
                  <w:vAlign w:val="center"/>
                </w:tcPr>
                <w:p w14:paraId="35B77520" w14:textId="77777777" w:rsidR="00D72306" w:rsidRPr="00D72306" w:rsidRDefault="00D72306" w:rsidP="00D72306">
                  <w:pPr>
                    <w:jc w:val="center"/>
                    <w:rPr>
                      <w:color w:val="000000" w:themeColor="text1"/>
                      <w:sz w:val="20"/>
                      <w:szCs w:val="18"/>
                    </w:rPr>
                  </w:pPr>
                  <w:r w:rsidRPr="00D72306">
                    <w:rPr>
                      <w:color w:val="000000" w:themeColor="text1"/>
                      <w:sz w:val="20"/>
                      <w:szCs w:val="18"/>
                    </w:rPr>
                    <w:t>0</w:t>
                  </w:r>
                </w:p>
              </w:tc>
            </w:tr>
          </w:tbl>
          <w:p w14:paraId="36C82231" w14:textId="37C2D0F0" w:rsidR="00397029" w:rsidRPr="00430503" w:rsidRDefault="00397029" w:rsidP="00177D5B">
            <w:pPr>
              <w:pStyle w:val="Standard"/>
              <w:jc w:val="both"/>
              <w:rPr>
                <w:rFonts w:cs="Times New Roman"/>
                <w:sz w:val="22"/>
                <w:highlight w:val="yellow"/>
              </w:rPr>
            </w:pPr>
          </w:p>
        </w:tc>
        <w:tc>
          <w:tcPr>
            <w:tcW w:w="3543" w:type="dxa"/>
          </w:tcPr>
          <w:p w14:paraId="36D48D10" w14:textId="4B0947A9" w:rsidR="00665013" w:rsidRPr="003111D6" w:rsidRDefault="003B626F" w:rsidP="003111D6">
            <w:pPr>
              <w:pStyle w:val="Standard"/>
              <w:jc w:val="both"/>
              <w:rPr>
                <w:rFonts w:cs="Times New Roman"/>
                <w:sz w:val="22"/>
              </w:rPr>
            </w:pPr>
            <w:r w:rsidRPr="003B626F">
              <w:rPr>
                <w:rFonts w:cs="Times New Roman"/>
                <w:sz w:val="22"/>
              </w:rPr>
              <w:lastRenderedPageBreak/>
              <w:t xml:space="preserve">Lūdzam </w:t>
            </w:r>
            <w:r w:rsidR="000504F5">
              <w:rPr>
                <w:rFonts w:cs="Times New Roman"/>
                <w:sz w:val="22"/>
              </w:rPr>
              <w:t xml:space="preserve">precizēt </w:t>
            </w:r>
            <w:r w:rsidR="00BB3DE7">
              <w:rPr>
                <w:rFonts w:cs="Times New Roman"/>
                <w:sz w:val="22"/>
              </w:rPr>
              <w:t>3.1. kritērija redakciju</w:t>
            </w:r>
            <w:r w:rsidR="000D1CBC">
              <w:rPr>
                <w:rFonts w:cs="Times New Roman"/>
                <w:sz w:val="22"/>
              </w:rPr>
              <w:t>. K</w:t>
            </w:r>
            <w:r w:rsidR="00BB3DE7">
              <w:rPr>
                <w:rFonts w:cs="Times New Roman"/>
                <w:sz w:val="22"/>
              </w:rPr>
              <w:t>ritērij</w:t>
            </w:r>
            <w:r w:rsidR="004F702F">
              <w:rPr>
                <w:rFonts w:cs="Times New Roman"/>
                <w:sz w:val="22"/>
              </w:rPr>
              <w:t>s</w:t>
            </w:r>
            <w:r w:rsidR="000D1CBC">
              <w:rPr>
                <w:rFonts w:cs="Times New Roman"/>
                <w:sz w:val="22"/>
              </w:rPr>
              <w:t xml:space="preserve"> ir</w:t>
            </w:r>
            <w:r w:rsidR="004F702F">
              <w:rPr>
                <w:rFonts w:cs="Times New Roman"/>
                <w:sz w:val="22"/>
              </w:rPr>
              <w:t xml:space="preserve"> balstīts uz atjaunināto </w:t>
            </w:r>
            <w:r w:rsidR="004F702F" w:rsidRPr="004F702F">
              <w:rPr>
                <w:rFonts w:cs="Times New Roman"/>
                <w:sz w:val="22"/>
              </w:rPr>
              <w:t>Padomes 1991. gada 21. maija Direktīvas 91/271/EEK par komunālo notekūdeņu attīrīšanu</w:t>
            </w:r>
            <w:r w:rsidR="004F702F">
              <w:rPr>
                <w:rFonts w:cs="Times New Roman"/>
                <w:sz w:val="22"/>
              </w:rPr>
              <w:t xml:space="preserve"> prasību </w:t>
            </w:r>
            <w:r w:rsidR="006F2332">
              <w:rPr>
                <w:rFonts w:cs="Times New Roman"/>
                <w:sz w:val="22"/>
              </w:rPr>
              <w:t xml:space="preserve">(turpmāk – Direktīva) </w:t>
            </w:r>
            <w:r w:rsidR="004F702F">
              <w:rPr>
                <w:rFonts w:cs="Times New Roman"/>
                <w:sz w:val="22"/>
              </w:rPr>
              <w:t>ieviešanas sekmēšanu.</w:t>
            </w:r>
            <w:r w:rsidR="000D1CBC">
              <w:rPr>
                <w:rFonts w:cs="Times New Roman"/>
                <w:sz w:val="22"/>
              </w:rPr>
              <w:t xml:space="preserve"> Kritērija redakcija tika veidota, balstoties uz </w:t>
            </w:r>
            <w:r w:rsidR="006F2332">
              <w:rPr>
                <w:rFonts w:cs="Times New Roman"/>
                <w:sz w:val="22"/>
              </w:rPr>
              <w:t>kritēriju izstrādes</w:t>
            </w:r>
            <w:r w:rsidR="00836B3E">
              <w:rPr>
                <w:rFonts w:cs="Times New Roman"/>
                <w:sz w:val="22"/>
              </w:rPr>
              <w:t xml:space="preserve"> </w:t>
            </w:r>
            <w:r w:rsidR="006F2332">
              <w:rPr>
                <w:rFonts w:cs="Times New Roman"/>
                <w:sz w:val="22"/>
              </w:rPr>
              <w:t>laikā</w:t>
            </w:r>
            <w:r w:rsidR="00836B3E">
              <w:rPr>
                <w:rFonts w:cs="Times New Roman"/>
                <w:sz w:val="22"/>
              </w:rPr>
              <w:t xml:space="preserve"> </w:t>
            </w:r>
            <w:r w:rsidR="00836B3E">
              <w:rPr>
                <w:rFonts w:cs="Times New Roman"/>
                <w:sz w:val="22"/>
              </w:rPr>
              <w:lastRenderedPageBreak/>
              <w:t>publiski pieejamo informāciju par Eiropas Parlamenta un Padomes viedokli</w:t>
            </w:r>
            <w:r w:rsidR="004968D9">
              <w:rPr>
                <w:rFonts w:cs="Times New Roman"/>
                <w:sz w:val="22"/>
              </w:rPr>
              <w:t xml:space="preserve"> attiecībā uz nosakāmajām prasībām piesārņojuma samazināšanai</w:t>
            </w:r>
            <w:r w:rsidR="00AB0D0F">
              <w:rPr>
                <w:rFonts w:cs="Times New Roman"/>
                <w:sz w:val="22"/>
              </w:rPr>
              <w:t>. Ņemot vērā, ka</w:t>
            </w:r>
            <w:r w:rsidR="00C7103C">
              <w:rPr>
                <w:rFonts w:cs="Times New Roman"/>
                <w:sz w:val="22"/>
              </w:rPr>
              <w:t xml:space="preserve"> 2024. gada 1. martā</w:t>
            </w:r>
            <w:r w:rsidR="00AB0D0F">
              <w:rPr>
                <w:rFonts w:cs="Times New Roman"/>
                <w:sz w:val="22"/>
              </w:rPr>
              <w:t xml:space="preserve"> </w:t>
            </w:r>
            <w:r w:rsidR="00494F21">
              <w:rPr>
                <w:rFonts w:cs="Times New Roman"/>
                <w:sz w:val="22"/>
              </w:rPr>
              <w:t xml:space="preserve">ir panākta vienošanās </w:t>
            </w:r>
            <w:r w:rsidR="004968D9">
              <w:rPr>
                <w:rFonts w:cs="Times New Roman"/>
                <w:sz w:val="22"/>
              </w:rPr>
              <w:t xml:space="preserve">starp Eiropas Parlamentu un Padomi </w:t>
            </w:r>
            <w:r w:rsidR="00494F21">
              <w:rPr>
                <w:rFonts w:cs="Times New Roman"/>
                <w:sz w:val="22"/>
              </w:rPr>
              <w:t xml:space="preserve">par konkrētu prasību </w:t>
            </w:r>
            <w:r w:rsidR="009874F3">
              <w:rPr>
                <w:rFonts w:cs="Times New Roman"/>
                <w:sz w:val="22"/>
              </w:rPr>
              <w:t xml:space="preserve">piemērošanu aglomerāciju grupai ar CE 10 000 – 100 000, </w:t>
            </w:r>
            <w:r w:rsidR="00300DB6">
              <w:rPr>
                <w:rFonts w:cs="Times New Roman"/>
                <w:sz w:val="22"/>
              </w:rPr>
              <w:t xml:space="preserve">atbilstoši Latvijas Ūdensapgādes un kanalizācijas uzņēmumu asociācijas ierosinājumam ir nepieciešams precizēt kritērija redakciju, lai tā atbilstu </w:t>
            </w:r>
            <w:r w:rsidR="006F2332">
              <w:rPr>
                <w:rFonts w:cs="Times New Roman"/>
                <w:sz w:val="22"/>
              </w:rPr>
              <w:t>sasniedzamajām pārskatītās Direktīvas prasībām.</w:t>
            </w:r>
            <w:r w:rsidR="004F702F" w:rsidRPr="004F702F">
              <w:rPr>
                <w:rFonts w:cs="Times New Roman"/>
                <w:sz w:val="22"/>
              </w:rPr>
              <w:t xml:space="preserve"> </w:t>
            </w:r>
            <w:r w:rsidR="00C64F57">
              <w:rPr>
                <w:rFonts w:cs="Times New Roman"/>
                <w:sz w:val="22"/>
              </w:rPr>
              <w:t xml:space="preserve">Lai netiktu kavēts atlases </w:t>
            </w:r>
            <w:r w:rsidR="00DD17C4">
              <w:rPr>
                <w:rFonts w:cs="Times New Roman"/>
                <w:sz w:val="22"/>
              </w:rPr>
              <w:t xml:space="preserve">nolikuma izstrādes un atlases </w:t>
            </w:r>
            <w:r w:rsidR="00C64F57">
              <w:rPr>
                <w:rFonts w:cs="Times New Roman"/>
                <w:sz w:val="22"/>
              </w:rPr>
              <w:t>izsludināšanas process, ņ</w:t>
            </w:r>
            <w:r w:rsidR="004968D9">
              <w:rPr>
                <w:rFonts w:cs="Times New Roman"/>
                <w:sz w:val="22"/>
              </w:rPr>
              <w:t xml:space="preserve">emot vērā, ka </w:t>
            </w:r>
            <w:r w:rsidR="00BA258C">
              <w:rPr>
                <w:rFonts w:cs="Times New Roman"/>
                <w:sz w:val="22"/>
              </w:rPr>
              <w:t xml:space="preserve">Direktīvas </w:t>
            </w:r>
            <w:r w:rsidR="003F1043">
              <w:rPr>
                <w:rFonts w:cs="Times New Roman"/>
                <w:sz w:val="22"/>
              </w:rPr>
              <w:t xml:space="preserve">redakciju apspriešanas un </w:t>
            </w:r>
            <w:r w:rsidR="00BA258C">
              <w:rPr>
                <w:rFonts w:cs="Times New Roman"/>
                <w:sz w:val="22"/>
              </w:rPr>
              <w:t xml:space="preserve">apstiprināšanas procesu var ietekmēt </w:t>
            </w:r>
            <w:r w:rsidR="004C6D5A">
              <w:rPr>
                <w:rFonts w:cs="Times New Roman"/>
                <w:sz w:val="22"/>
              </w:rPr>
              <w:t>arī citi apstākļi, kas nav saistīti ar 2.2.1.1. pasākum</w:t>
            </w:r>
            <w:r w:rsidR="00F84EB4">
              <w:rPr>
                <w:rFonts w:cs="Times New Roman"/>
                <w:sz w:val="22"/>
              </w:rPr>
              <w:t>a pirmajā atlases kārtā</w:t>
            </w:r>
            <w:r w:rsidR="004C6D5A">
              <w:rPr>
                <w:rFonts w:cs="Times New Roman"/>
                <w:sz w:val="22"/>
              </w:rPr>
              <w:t xml:space="preserve"> iekļautajām prasībām</w:t>
            </w:r>
            <w:r w:rsidR="00503907">
              <w:rPr>
                <w:rFonts w:cs="Times New Roman"/>
                <w:sz w:val="22"/>
              </w:rPr>
              <w:t xml:space="preserve"> (piemēram, Direktīvas </w:t>
            </w:r>
            <w:r w:rsidR="005B13C5">
              <w:rPr>
                <w:rFonts w:cs="Times New Roman"/>
                <w:sz w:val="22"/>
              </w:rPr>
              <w:t xml:space="preserve">formālā </w:t>
            </w:r>
            <w:r w:rsidR="00503907">
              <w:rPr>
                <w:rFonts w:cs="Times New Roman"/>
                <w:sz w:val="22"/>
              </w:rPr>
              <w:t>apstiprināšana Padomē)</w:t>
            </w:r>
            <w:r w:rsidR="004C6D5A">
              <w:rPr>
                <w:rFonts w:cs="Times New Roman"/>
                <w:sz w:val="22"/>
              </w:rPr>
              <w:t xml:space="preserve">, </w:t>
            </w:r>
            <w:r w:rsidR="00126608">
              <w:rPr>
                <w:rFonts w:cs="Times New Roman"/>
                <w:sz w:val="22"/>
              </w:rPr>
              <w:t xml:space="preserve">kā arī to, ka </w:t>
            </w:r>
            <w:r w:rsidR="00212BD9">
              <w:rPr>
                <w:rFonts w:cs="Times New Roman"/>
                <w:sz w:val="22"/>
              </w:rPr>
              <w:t xml:space="preserve">līdz pārskatītās </w:t>
            </w:r>
            <w:r w:rsidR="004968D9">
              <w:rPr>
                <w:rFonts w:cs="Times New Roman"/>
                <w:sz w:val="22"/>
              </w:rPr>
              <w:t>Direktīvas apstiprināšana</w:t>
            </w:r>
            <w:r w:rsidR="00212BD9">
              <w:rPr>
                <w:rFonts w:cs="Times New Roman"/>
                <w:sz w:val="22"/>
              </w:rPr>
              <w:t>i</w:t>
            </w:r>
            <w:r w:rsidR="004968D9">
              <w:rPr>
                <w:rFonts w:cs="Times New Roman"/>
                <w:sz w:val="22"/>
              </w:rPr>
              <w:t xml:space="preserve"> </w:t>
            </w:r>
            <w:r w:rsidR="006855CB">
              <w:rPr>
                <w:rFonts w:cs="Times New Roman"/>
                <w:sz w:val="22"/>
              </w:rPr>
              <w:t>un spēkā stāšanās</w:t>
            </w:r>
            <w:r w:rsidR="004E4DFB">
              <w:rPr>
                <w:rFonts w:cs="Times New Roman"/>
                <w:sz w:val="22"/>
              </w:rPr>
              <w:t xml:space="preserve"> brīdim 2.2.1.1. pasākuma atlas</w:t>
            </w:r>
            <w:r w:rsidR="00BB679E">
              <w:rPr>
                <w:rFonts w:cs="Times New Roman"/>
                <w:sz w:val="22"/>
              </w:rPr>
              <w:t>i</w:t>
            </w:r>
            <w:r w:rsidR="004E4DFB">
              <w:rPr>
                <w:rFonts w:cs="Times New Roman"/>
                <w:sz w:val="22"/>
              </w:rPr>
              <w:t xml:space="preserve"> </w:t>
            </w:r>
            <w:r w:rsidR="00BB679E">
              <w:rPr>
                <w:rFonts w:cs="Times New Roman"/>
                <w:sz w:val="22"/>
              </w:rPr>
              <w:t xml:space="preserve">ir </w:t>
            </w:r>
            <w:r w:rsidR="009907EC">
              <w:rPr>
                <w:rFonts w:cs="Times New Roman"/>
                <w:sz w:val="22"/>
              </w:rPr>
              <w:t xml:space="preserve">jau </w:t>
            </w:r>
            <w:r w:rsidR="00BB679E">
              <w:rPr>
                <w:rFonts w:cs="Times New Roman"/>
                <w:sz w:val="22"/>
              </w:rPr>
              <w:t>plānots izsludināt</w:t>
            </w:r>
            <w:r w:rsidR="004E4DFB">
              <w:rPr>
                <w:rFonts w:cs="Times New Roman"/>
                <w:sz w:val="22"/>
              </w:rPr>
              <w:t xml:space="preserve">, </w:t>
            </w:r>
            <w:r w:rsidR="00126608">
              <w:rPr>
                <w:rFonts w:cs="Times New Roman"/>
                <w:sz w:val="22"/>
              </w:rPr>
              <w:t xml:space="preserve">lūdzam gan pie </w:t>
            </w:r>
            <w:r w:rsidR="00126608">
              <w:rPr>
                <w:rFonts w:cs="Times New Roman"/>
                <w:sz w:val="22"/>
              </w:rPr>
              <w:lastRenderedPageBreak/>
              <w:t xml:space="preserve">kritērija, gan kritēriju apstiprināšanas </w:t>
            </w:r>
            <w:r w:rsidR="001A21B9">
              <w:rPr>
                <w:rFonts w:cs="Times New Roman"/>
                <w:sz w:val="22"/>
              </w:rPr>
              <w:t xml:space="preserve">lēmumā iekļaut </w:t>
            </w:r>
            <w:r w:rsidR="009907EC">
              <w:rPr>
                <w:rFonts w:cs="Times New Roman"/>
                <w:sz w:val="22"/>
              </w:rPr>
              <w:t>informatīvu atsauci, ka “</w:t>
            </w:r>
            <w:r w:rsidR="00E64301" w:rsidRPr="00E64301">
              <w:rPr>
                <w:rFonts w:cs="Times New Roman"/>
                <w:sz w:val="22"/>
              </w:rPr>
              <w:t>Gadījumā, ja Eiropas Parlaments un Padome vienojas par atšķirīgu prasību piemērošanu Padomes 1991. gada 21. maija Direktīvas 91/271/EEK par komunālo notekūdeņu attīrīšanu pārskatīšanas rezultātā, kritērija redakcija ir tehniski precizējama, iekļaujot aglomerāciju grupai ar ienākošo piesārņojuma slodzi cilvēkekvivalentos 10 000 – 100 000 piemērojamās prasības</w:t>
            </w:r>
            <w:r w:rsidR="009907EC">
              <w:rPr>
                <w:rFonts w:cs="Times New Roman"/>
                <w:sz w:val="22"/>
              </w:rPr>
              <w:t>”</w:t>
            </w:r>
            <w:r w:rsidR="00DB21C0">
              <w:rPr>
                <w:rFonts w:cs="Times New Roman"/>
                <w:sz w:val="22"/>
              </w:rPr>
              <w:t>, kas būtu izmantojama līdz atlases izsludināšanai.</w:t>
            </w:r>
          </w:p>
        </w:tc>
      </w:tr>
      <w:tr w:rsidR="00CE0989" w:rsidRPr="00F95150" w14:paraId="75001870" w14:textId="77777777" w:rsidTr="00CE0989">
        <w:tc>
          <w:tcPr>
            <w:tcW w:w="508" w:type="dxa"/>
          </w:tcPr>
          <w:p w14:paraId="01CD6B52" w14:textId="77777777" w:rsidR="00A57181" w:rsidRPr="004C2517" w:rsidRDefault="00A57181" w:rsidP="00A57181">
            <w:pPr>
              <w:pStyle w:val="Standard"/>
              <w:numPr>
                <w:ilvl w:val="0"/>
                <w:numId w:val="13"/>
              </w:numPr>
              <w:ind w:hanging="1049"/>
              <w:jc w:val="center"/>
              <w:rPr>
                <w:rFonts w:cs="Times New Roman"/>
                <w:sz w:val="22"/>
              </w:rPr>
            </w:pPr>
          </w:p>
        </w:tc>
        <w:tc>
          <w:tcPr>
            <w:tcW w:w="1049" w:type="dxa"/>
          </w:tcPr>
          <w:p w14:paraId="409ACF3A" w14:textId="244300F4" w:rsidR="00A57181" w:rsidRPr="004C2517" w:rsidRDefault="004C2517" w:rsidP="00177D5B">
            <w:pPr>
              <w:pStyle w:val="Standard"/>
              <w:jc w:val="both"/>
              <w:rPr>
                <w:rFonts w:cs="Times New Roman"/>
                <w:b/>
                <w:bCs/>
                <w:sz w:val="22"/>
              </w:rPr>
            </w:pPr>
            <w:r w:rsidRPr="004C2517">
              <w:rPr>
                <w:rFonts w:cs="Times New Roman"/>
                <w:b/>
                <w:bCs/>
                <w:sz w:val="22"/>
              </w:rPr>
              <w:t>Nr. 3.5.</w:t>
            </w:r>
          </w:p>
        </w:tc>
        <w:tc>
          <w:tcPr>
            <w:tcW w:w="4634" w:type="dxa"/>
          </w:tcPr>
          <w:tbl>
            <w:tblPr>
              <w:tblW w:w="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50"/>
              <w:gridCol w:w="883"/>
            </w:tblGrid>
            <w:tr w:rsidR="00D07DFB" w:rsidRPr="00D07DFB" w14:paraId="32EA59BC" w14:textId="77777777" w:rsidTr="00742C3E">
              <w:trPr>
                <w:trHeight w:val="528"/>
                <w:jc w:val="center"/>
              </w:trPr>
              <w:tc>
                <w:tcPr>
                  <w:tcW w:w="675" w:type="dxa"/>
                  <w:tcBorders>
                    <w:top w:val="single" w:sz="4" w:space="0" w:color="auto"/>
                    <w:left w:val="single" w:sz="4" w:space="0" w:color="auto"/>
                    <w:right w:val="single" w:sz="4" w:space="0" w:color="auto"/>
                  </w:tcBorders>
                  <w:shd w:val="clear" w:color="auto" w:fill="auto"/>
                  <w:vAlign w:val="center"/>
                </w:tcPr>
                <w:p w14:paraId="3EF3EA58" w14:textId="77777777" w:rsidR="00D07DFB" w:rsidRPr="00D07DFB" w:rsidRDefault="00D07DFB" w:rsidP="00D07DFB">
                  <w:pPr>
                    <w:jc w:val="center"/>
                    <w:rPr>
                      <w:b/>
                      <w:bCs/>
                      <w:color w:val="000000" w:themeColor="text1"/>
                      <w:sz w:val="20"/>
                      <w:szCs w:val="18"/>
                    </w:rPr>
                  </w:pPr>
                  <w:r w:rsidRPr="00D07DFB">
                    <w:rPr>
                      <w:b/>
                      <w:bCs/>
                      <w:color w:val="000000" w:themeColor="text1"/>
                      <w:sz w:val="20"/>
                      <w:szCs w:val="18"/>
                    </w:rPr>
                    <w:t>3.5.</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2E72152D" w14:textId="77777777" w:rsidR="00D07DFB" w:rsidRPr="00D07DFB" w:rsidRDefault="00D07DFB" w:rsidP="00D07DFB">
                  <w:pPr>
                    <w:jc w:val="both"/>
                    <w:rPr>
                      <w:color w:val="000000" w:themeColor="text1"/>
                      <w:sz w:val="20"/>
                      <w:szCs w:val="18"/>
                      <w:highlight w:val="yellow"/>
                    </w:rPr>
                  </w:pPr>
                  <w:r w:rsidRPr="00D07DFB">
                    <w:rPr>
                      <w:rFonts w:eastAsia="Calibri"/>
                      <w:b/>
                      <w:bCs/>
                      <w:color w:val="000000" w:themeColor="text1"/>
                      <w:sz w:val="20"/>
                      <w:szCs w:val="18"/>
                    </w:rPr>
                    <w:t xml:space="preserve">Projektā paredzētās darbības efektivitāte – </w:t>
                  </w:r>
                  <w:r w:rsidRPr="00D07DFB">
                    <w:rPr>
                      <w:rFonts w:eastAsia="Calibri"/>
                      <w:color w:val="000000" w:themeColor="text1"/>
                      <w:sz w:val="20"/>
                      <w:szCs w:val="18"/>
                    </w:rPr>
                    <w:t>projekta rezultātā no NAI izplūstošajos attīrītajos notekūdeņos gada vidējās slāpekļa un fosfora koncentrācijas nepārsniedz</w:t>
                  </w:r>
                  <w:r w:rsidRPr="00D07DFB">
                    <w:rPr>
                      <w:rFonts w:eastAsia="Calibri"/>
                      <w:b/>
                      <w:bCs/>
                      <w:color w:val="000000" w:themeColor="text1"/>
                      <w:sz w:val="20"/>
                      <w:szCs w:val="18"/>
                    </w:rPr>
                    <w:t xml:space="preserve">: </w:t>
                  </w:r>
                </w:p>
              </w:tc>
              <w:tc>
                <w:tcPr>
                  <w:tcW w:w="883" w:type="dxa"/>
                  <w:tcBorders>
                    <w:left w:val="single" w:sz="4" w:space="0" w:color="auto"/>
                    <w:right w:val="single" w:sz="4" w:space="0" w:color="auto"/>
                  </w:tcBorders>
                  <w:shd w:val="clear" w:color="auto" w:fill="auto"/>
                  <w:vAlign w:val="center"/>
                </w:tcPr>
                <w:p w14:paraId="69A325B4" w14:textId="77777777" w:rsidR="00D07DFB" w:rsidRPr="00D07DFB" w:rsidRDefault="00D07DFB" w:rsidP="00D07DFB">
                  <w:pPr>
                    <w:jc w:val="center"/>
                    <w:rPr>
                      <w:color w:val="000000" w:themeColor="text1"/>
                      <w:sz w:val="20"/>
                      <w:szCs w:val="18"/>
                    </w:rPr>
                  </w:pPr>
                  <w:r w:rsidRPr="00D07DFB">
                    <w:rPr>
                      <w:bCs/>
                      <w:color w:val="000000" w:themeColor="text1"/>
                      <w:sz w:val="20"/>
                      <w:szCs w:val="18"/>
                    </w:rPr>
                    <w:t>Kritērijs dod papildu punktus</w:t>
                  </w:r>
                </w:p>
              </w:tc>
            </w:tr>
            <w:tr w:rsidR="00D07DFB" w:rsidRPr="00D07DFB" w14:paraId="0E3B32D9" w14:textId="77777777" w:rsidTr="00742C3E">
              <w:trPr>
                <w:trHeight w:val="409"/>
                <w:jc w:val="center"/>
              </w:trPr>
              <w:tc>
                <w:tcPr>
                  <w:tcW w:w="675" w:type="dxa"/>
                  <w:tcBorders>
                    <w:left w:val="single" w:sz="4" w:space="0" w:color="auto"/>
                    <w:right w:val="single" w:sz="4" w:space="0" w:color="auto"/>
                  </w:tcBorders>
                  <w:shd w:val="clear" w:color="auto" w:fill="auto"/>
                  <w:vAlign w:val="center"/>
                </w:tcPr>
                <w:p w14:paraId="638157FD" w14:textId="77777777" w:rsidR="00D07DFB" w:rsidRPr="00D07DFB" w:rsidRDefault="00D07DFB" w:rsidP="00D07DFB">
                  <w:pPr>
                    <w:jc w:val="center"/>
                    <w:rPr>
                      <w:color w:val="000000" w:themeColor="text1"/>
                      <w:sz w:val="20"/>
                      <w:szCs w:val="18"/>
                    </w:rPr>
                  </w:pPr>
                  <w:r w:rsidRPr="00D07DFB">
                    <w:rPr>
                      <w:color w:val="000000" w:themeColor="text1"/>
                      <w:sz w:val="20"/>
                      <w:szCs w:val="18"/>
                    </w:rPr>
                    <w:t>3.5.1.</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741964D1" w14:textId="77777777" w:rsidR="00D07DFB" w:rsidRPr="00D07DFB" w:rsidRDefault="00D07DFB" w:rsidP="00D07DFB">
                  <w:pPr>
                    <w:jc w:val="both"/>
                    <w:rPr>
                      <w:rFonts w:eastAsia="Calibri"/>
                      <w:b/>
                      <w:bCs/>
                      <w:color w:val="000000" w:themeColor="text1"/>
                      <w:sz w:val="20"/>
                      <w:szCs w:val="18"/>
                    </w:rPr>
                  </w:pPr>
                  <w:r w:rsidRPr="00D07DFB">
                    <w:rPr>
                      <w:color w:val="000000" w:themeColor="text1"/>
                      <w:sz w:val="20"/>
                      <w:szCs w:val="18"/>
                    </w:rPr>
                    <w:t>10 mg N/l un 1 mg P/l</w:t>
                  </w:r>
                </w:p>
              </w:tc>
              <w:tc>
                <w:tcPr>
                  <w:tcW w:w="883" w:type="dxa"/>
                  <w:tcBorders>
                    <w:left w:val="single" w:sz="4" w:space="0" w:color="auto"/>
                    <w:right w:val="single" w:sz="4" w:space="0" w:color="auto"/>
                  </w:tcBorders>
                  <w:shd w:val="clear" w:color="auto" w:fill="auto"/>
                  <w:vAlign w:val="center"/>
                </w:tcPr>
                <w:p w14:paraId="0D3D92F3" w14:textId="77777777" w:rsidR="00D07DFB" w:rsidRPr="00D07DFB" w:rsidRDefault="00D07DFB" w:rsidP="00D07DFB">
                  <w:pPr>
                    <w:jc w:val="center"/>
                    <w:rPr>
                      <w:color w:val="000000" w:themeColor="text1"/>
                      <w:sz w:val="20"/>
                      <w:szCs w:val="18"/>
                    </w:rPr>
                  </w:pPr>
                  <w:r w:rsidRPr="00D07DFB">
                    <w:rPr>
                      <w:color w:val="000000" w:themeColor="text1"/>
                      <w:sz w:val="20"/>
                      <w:szCs w:val="18"/>
                    </w:rPr>
                    <w:t>1</w:t>
                  </w:r>
                </w:p>
              </w:tc>
            </w:tr>
            <w:tr w:rsidR="00D07DFB" w:rsidRPr="00D07DFB" w14:paraId="513AECE0" w14:textId="77777777" w:rsidTr="00742C3E">
              <w:trPr>
                <w:trHeight w:val="428"/>
                <w:jc w:val="center"/>
              </w:trPr>
              <w:tc>
                <w:tcPr>
                  <w:tcW w:w="675" w:type="dxa"/>
                  <w:tcBorders>
                    <w:left w:val="single" w:sz="4" w:space="0" w:color="auto"/>
                    <w:bottom w:val="single" w:sz="4" w:space="0" w:color="auto"/>
                    <w:right w:val="single" w:sz="4" w:space="0" w:color="auto"/>
                  </w:tcBorders>
                  <w:shd w:val="clear" w:color="auto" w:fill="auto"/>
                  <w:vAlign w:val="center"/>
                </w:tcPr>
                <w:p w14:paraId="101A55A6" w14:textId="77777777" w:rsidR="00D07DFB" w:rsidRPr="00D07DFB" w:rsidRDefault="00D07DFB" w:rsidP="00D07DFB">
                  <w:pPr>
                    <w:jc w:val="center"/>
                    <w:rPr>
                      <w:color w:val="000000" w:themeColor="text1"/>
                      <w:sz w:val="20"/>
                      <w:szCs w:val="18"/>
                    </w:rPr>
                  </w:pPr>
                  <w:r w:rsidRPr="00D07DFB">
                    <w:rPr>
                      <w:color w:val="000000" w:themeColor="text1"/>
                      <w:sz w:val="20"/>
                      <w:szCs w:val="18"/>
                    </w:rPr>
                    <w:t>3.5.2.</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5D54783A" w14:textId="77777777" w:rsidR="00D07DFB" w:rsidRPr="00D07DFB" w:rsidRDefault="00D07DFB" w:rsidP="00D07DFB">
                  <w:pPr>
                    <w:jc w:val="both"/>
                    <w:rPr>
                      <w:rFonts w:eastAsia="Calibri"/>
                      <w:b/>
                      <w:bCs/>
                      <w:color w:val="000000" w:themeColor="text1"/>
                      <w:sz w:val="20"/>
                      <w:szCs w:val="18"/>
                    </w:rPr>
                  </w:pPr>
                  <w:r w:rsidRPr="00D07DFB">
                    <w:rPr>
                      <w:color w:val="000000" w:themeColor="text1"/>
                      <w:sz w:val="20"/>
                      <w:szCs w:val="18"/>
                    </w:rPr>
                    <w:t>8 mg N/l un 0,2 mg P/l</w:t>
                  </w:r>
                </w:p>
              </w:tc>
              <w:tc>
                <w:tcPr>
                  <w:tcW w:w="883" w:type="dxa"/>
                  <w:tcBorders>
                    <w:left w:val="single" w:sz="4" w:space="0" w:color="auto"/>
                    <w:right w:val="single" w:sz="4" w:space="0" w:color="auto"/>
                  </w:tcBorders>
                  <w:shd w:val="clear" w:color="auto" w:fill="auto"/>
                  <w:vAlign w:val="center"/>
                </w:tcPr>
                <w:p w14:paraId="0C952862" w14:textId="77777777" w:rsidR="00D07DFB" w:rsidRPr="00D07DFB" w:rsidRDefault="00D07DFB" w:rsidP="00D07DFB">
                  <w:pPr>
                    <w:jc w:val="center"/>
                    <w:rPr>
                      <w:color w:val="000000" w:themeColor="text1"/>
                      <w:sz w:val="20"/>
                      <w:szCs w:val="18"/>
                    </w:rPr>
                  </w:pPr>
                  <w:r w:rsidRPr="00D07DFB">
                    <w:rPr>
                      <w:color w:val="000000" w:themeColor="text1"/>
                      <w:sz w:val="20"/>
                      <w:szCs w:val="18"/>
                    </w:rPr>
                    <w:t>5</w:t>
                  </w:r>
                </w:p>
              </w:tc>
            </w:tr>
            <w:tr w:rsidR="00D07DFB" w:rsidRPr="00D07DFB" w14:paraId="119776E3" w14:textId="77777777" w:rsidTr="00742C3E">
              <w:trPr>
                <w:trHeight w:val="547"/>
                <w:jc w:val="center"/>
              </w:trPr>
              <w:tc>
                <w:tcPr>
                  <w:tcW w:w="675" w:type="dxa"/>
                  <w:tcBorders>
                    <w:left w:val="single" w:sz="4" w:space="0" w:color="auto"/>
                    <w:bottom w:val="single" w:sz="4" w:space="0" w:color="auto"/>
                    <w:right w:val="single" w:sz="4" w:space="0" w:color="auto"/>
                  </w:tcBorders>
                  <w:shd w:val="clear" w:color="auto" w:fill="auto"/>
                  <w:vAlign w:val="center"/>
                </w:tcPr>
                <w:p w14:paraId="5C9E2CD5" w14:textId="77777777" w:rsidR="00D07DFB" w:rsidRPr="00D07DFB" w:rsidRDefault="00D07DFB" w:rsidP="00D07DFB">
                  <w:pPr>
                    <w:jc w:val="center"/>
                    <w:rPr>
                      <w:color w:val="538135" w:themeColor="accent6" w:themeShade="BF"/>
                      <w:sz w:val="20"/>
                      <w:szCs w:val="18"/>
                    </w:rPr>
                  </w:pPr>
                  <w:r w:rsidRPr="00D07DFB">
                    <w:rPr>
                      <w:color w:val="000000" w:themeColor="text1"/>
                      <w:sz w:val="20"/>
                      <w:szCs w:val="18"/>
                    </w:rPr>
                    <w:t>3.5.3.</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3B2AD0F4" w14:textId="77777777" w:rsidR="00D07DFB" w:rsidRPr="00D07DFB" w:rsidRDefault="00D07DFB" w:rsidP="00D07DFB">
                  <w:pPr>
                    <w:jc w:val="both"/>
                    <w:rPr>
                      <w:color w:val="000000" w:themeColor="text1"/>
                      <w:sz w:val="20"/>
                      <w:szCs w:val="18"/>
                    </w:rPr>
                  </w:pPr>
                  <w:r w:rsidRPr="00D07DFB">
                    <w:rPr>
                      <w:color w:val="000000" w:themeColor="text1"/>
                      <w:sz w:val="20"/>
                      <w:szCs w:val="18"/>
                    </w:rPr>
                    <w:t>citas koncentrācijas, kas neatbilst vismaz 3.5.2. apakškritērijā minētajām koncentrācijām</w:t>
                  </w:r>
                </w:p>
              </w:tc>
              <w:tc>
                <w:tcPr>
                  <w:tcW w:w="883" w:type="dxa"/>
                  <w:tcBorders>
                    <w:left w:val="single" w:sz="4" w:space="0" w:color="auto"/>
                    <w:right w:val="single" w:sz="4" w:space="0" w:color="auto"/>
                  </w:tcBorders>
                  <w:shd w:val="clear" w:color="auto" w:fill="auto"/>
                  <w:vAlign w:val="center"/>
                </w:tcPr>
                <w:p w14:paraId="749EF7DB" w14:textId="77777777" w:rsidR="00D07DFB" w:rsidRPr="00D07DFB" w:rsidRDefault="00D07DFB" w:rsidP="00D07DFB">
                  <w:pPr>
                    <w:jc w:val="center"/>
                    <w:rPr>
                      <w:color w:val="000000" w:themeColor="text1"/>
                      <w:sz w:val="20"/>
                      <w:szCs w:val="18"/>
                    </w:rPr>
                  </w:pPr>
                  <w:r w:rsidRPr="00D07DFB">
                    <w:rPr>
                      <w:color w:val="000000" w:themeColor="text1"/>
                      <w:sz w:val="20"/>
                      <w:szCs w:val="18"/>
                    </w:rPr>
                    <w:t>0</w:t>
                  </w:r>
                </w:p>
              </w:tc>
            </w:tr>
          </w:tbl>
          <w:p w14:paraId="0E0CC4E2" w14:textId="382A1EF4" w:rsidR="00F95150" w:rsidRPr="00430503" w:rsidRDefault="00F95150" w:rsidP="00177D5B">
            <w:pPr>
              <w:pStyle w:val="Standard"/>
              <w:jc w:val="both"/>
              <w:rPr>
                <w:rFonts w:cs="Times New Roman"/>
                <w:sz w:val="22"/>
                <w:highlight w:val="yellow"/>
              </w:rPr>
            </w:pPr>
          </w:p>
        </w:tc>
        <w:tc>
          <w:tcPr>
            <w:tcW w:w="5859" w:type="dxa"/>
          </w:tcPr>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139"/>
              <w:gridCol w:w="1086"/>
            </w:tblGrid>
            <w:tr w:rsidR="00742C3E" w:rsidRPr="00742C3E" w14:paraId="6CD31480" w14:textId="77777777" w:rsidTr="00742C3E">
              <w:trPr>
                <w:trHeight w:val="1095"/>
                <w:jc w:val="center"/>
              </w:trPr>
              <w:tc>
                <w:tcPr>
                  <w:tcW w:w="763" w:type="dxa"/>
                  <w:tcBorders>
                    <w:top w:val="single" w:sz="4" w:space="0" w:color="auto"/>
                    <w:left w:val="single" w:sz="4" w:space="0" w:color="auto"/>
                    <w:right w:val="single" w:sz="4" w:space="0" w:color="auto"/>
                  </w:tcBorders>
                  <w:shd w:val="clear" w:color="auto" w:fill="auto"/>
                  <w:vAlign w:val="center"/>
                </w:tcPr>
                <w:p w14:paraId="64375C3F" w14:textId="77777777" w:rsidR="00742C3E" w:rsidRPr="00742C3E" w:rsidRDefault="00742C3E" w:rsidP="00742C3E">
                  <w:pPr>
                    <w:jc w:val="center"/>
                    <w:rPr>
                      <w:b/>
                      <w:bCs/>
                      <w:color w:val="000000" w:themeColor="text1"/>
                      <w:sz w:val="20"/>
                      <w:szCs w:val="18"/>
                    </w:rPr>
                  </w:pPr>
                  <w:r w:rsidRPr="00742C3E">
                    <w:rPr>
                      <w:b/>
                      <w:bCs/>
                      <w:color w:val="000000" w:themeColor="text1"/>
                      <w:sz w:val="20"/>
                      <w:szCs w:val="18"/>
                    </w:rPr>
                    <w:t>3.5.</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3ADACFAD" w14:textId="77777777" w:rsidR="00742C3E" w:rsidRPr="00742C3E" w:rsidRDefault="00742C3E" w:rsidP="00742C3E">
                  <w:pPr>
                    <w:jc w:val="both"/>
                    <w:rPr>
                      <w:color w:val="000000" w:themeColor="text1"/>
                      <w:sz w:val="20"/>
                      <w:szCs w:val="18"/>
                      <w:highlight w:val="yellow"/>
                    </w:rPr>
                  </w:pPr>
                  <w:r w:rsidRPr="00742C3E">
                    <w:rPr>
                      <w:rFonts w:eastAsia="Calibri"/>
                      <w:b/>
                      <w:bCs/>
                      <w:color w:val="000000" w:themeColor="text1"/>
                      <w:sz w:val="20"/>
                      <w:szCs w:val="18"/>
                    </w:rPr>
                    <w:t xml:space="preserve">Projektā paredzētās darbības efektivitāte – </w:t>
                  </w:r>
                  <w:r w:rsidRPr="00742C3E">
                    <w:rPr>
                      <w:rFonts w:eastAsia="Calibri"/>
                      <w:color w:val="000000" w:themeColor="text1"/>
                      <w:sz w:val="20"/>
                      <w:szCs w:val="18"/>
                    </w:rPr>
                    <w:t>projekta rezultātā no NAI izplūstošajos attīrītajos notekūdeņos gada vidējās slāpekļa un fosfora koncentrācijas nepārsniedz</w:t>
                  </w:r>
                  <w:r w:rsidRPr="00742C3E">
                    <w:rPr>
                      <w:rFonts w:eastAsia="Calibri"/>
                      <w:b/>
                      <w:bCs/>
                      <w:color w:val="000000" w:themeColor="text1"/>
                      <w:sz w:val="20"/>
                      <w:szCs w:val="18"/>
                    </w:rPr>
                    <w:t xml:space="preserve">: </w:t>
                  </w:r>
                </w:p>
              </w:tc>
              <w:tc>
                <w:tcPr>
                  <w:tcW w:w="1086" w:type="dxa"/>
                  <w:tcBorders>
                    <w:left w:val="single" w:sz="4" w:space="0" w:color="auto"/>
                    <w:right w:val="single" w:sz="4" w:space="0" w:color="auto"/>
                  </w:tcBorders>
                  <w:shd w:val="clear" w:color="auto" w:fill="auto"/>
                  <w:vAlign w:val="center"/>
                </w:tcPr>
                <w:p w14:paraId="775E042C" w14:textId="77777777" w:rsidR="00742C3E" w:rsidRPr="00742C3E" w:rsidRDefault="00742C3E" w:rsidP="00742C3E">
                  <w:pPr>
                    <w:jc w:val="center"/>
                    <w:rPr>
                      <w:color w:val="000000" w:themeColor="text1"/>
                      <w:sz w:val="20"/>
                      <w:szCs w:val="18"/>
                    </w:rPr>
                  </w:pPr>
                  <w:r w:rsidRPr="00742C3E">
                    <w:rPr>
                      <w:bCs/>
                      <w:color w:val="000000" w:themeColor="text1"/>
                      <w:sz w:val="20"/>
                      <w:szCs w:val="18"/>
                    </w:rPr>
                    <w:t>Kritērijs dod papildu punktus</w:t>
                  </w:r>
                </w:p>
              </w:tc>
            </w:tr>
            <w:tr w:rsidR="00742C3E" w:rsidRPr="00742C3E" w14:paraId="5527DE16" w14:textId="77777777" w:rsidTr="00742C3E">
              <w:trPr>
                <w:trHeight w:val="387"/>
                <w:jc w:val="center"/>
              </w:trPr>
              <w:tc>
                <w:tcPr>
                  <w:tcW w:w="763" w:type="dxa"/>
                  <w:tcBorders>
                    <w:left w:val="single" w:sz="4" w:space="0" w:color="auto"/>
                    <w:right w:val="single" w:sz="4" w:space="0" w:color="auto"/>
                  </w:tcBorders>
                  <w:shd w:val="clear" w:color="auto" w:fill="auto"/>
                  <w:vAlign w:val="center"/>
                </w:tcPr>
                <w:p w14:paraId="78C670E7" w14:textId="77777777" w:rsidR="00742C3E" w:rsidRPr="00742C3E" w:rsidRDefault="00742C3E" w:rsidP="00742C3E">
                  <w:pPr>
                    <w:jc w:val="center"/>
                    <w:rPr>
                      <w:color w:val="000000" w:themeColor="text1"/>
                      <w:sz w:val="20"/>
                      <w:szCs w:val="18"/>
                    </w:rPr>
                  </w:pPr>
                  <w:r w:rsidRPr="00742C3E">
                    <w:rPr>
                      <w:color w:val="000000" w:themeColor="text1"/>
                      <w:sz w:val="20"/>
                      <w:szCs w:val="18"/>
                    </w:rPr>
                    <w:t>3.5.1.</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6FE6383D" w14:textId="77777777" w:rsidR="00742C3E" w:rsidRPr="00742C3E" w:rsidRDefault="00742C3E" w:rsidP="00742C3E">
                  <w:pPr>
                    <w:jc w:val="both"/>
                    <w:rPr>
                      <w:rFonts w:eastAsia="Calibri"/>
                      <w:b/>
                      <w:bCs/>
                      <w:color w:val="000000" w:themeColor="text1"/>
                      <w:sz w:val="20"/>
                      <w:szCs w:val="18"/>
                    </w:rPr>
                  </w:pPr>
                  <w:r w:rsidRPr="00742C3E">
                    <w:rPr>
                      <w:color w:val="000000" w:themeColor="text1"/>
                      <w:sz w:val="20"/>
                      <w:szCs w:val="18"/>
                    </w:rPr>
                    <w:t>10,0 mg N/l un 0,7 mg P/l</w:t>
                  </w:r>
                </w:p>
              </w:tc>
              <w:tc>
                <w:tcPr>
                  <w:tcW w:w="1086" w:type="dxa"/>
                  <w:tcBorders>
                    <w:left w:val="single" w:sz="4" w:space="0" w:color="auto"/>
                    <w:right w:val="single" w:sz="4" w:space="0" w:color="auto"/>
                  </w:tcBorders>
                  <w:shd w:val="clear" w:color="auto" w:fill="auto"/>
                  <w:vAlign w:val="center"/>
                </w:tcPr>
                <w:p w14:paraId="6E0872C5" w14:textId="77777777" w:rsidR="00742C3E" w:rsidRPr="00742C3E" w:rsidRDefault="00742C3E" w:rsidP="00742C3E">
                  <w:pPr>
                    <w:jc w:val="center"/>
                    <w:rPr>
                      <w:color w:val="000000" w:themeColor="text1"/>
                      <w:sz w:val="20"/>
                      <w:szCs w:val="18"/>
                    </w:rPr>
                  </w:pPr>
                  <w:r w:rsidRPr="00742C3E">
                    <w:rPr>
                      <w:color w:val="000000" w:themeColor="text1"/>
                      <w:sz w:val="20"/>
                      <w:szCs w:val="18"/>
                    </w:rPr>
                    <w:t>3</w:t>
                  </w:r>
                </w:p>
              </w:tc>
            </w:tr>
            <w:tr w:rsidR="00742C3E" w:rsidRPr="00742C3E" w14:paraId="7192D663" w14:textId="77777777" w:rsidTr="00742C3E">
              <w:trPr>
                <w:trHeight w:val="424"/>
                <w:jc w:val="center"/>
              </w:trPr>
              <w:tc>
                <w:tcPr>
                  <w:tcW w:w="763" w:type="dxa"/>
                  <w:tcBorders>
                    <w:left w:val="single" w:sz="4" w:space="0" w:color="auto"/>
                    <w:bottom w:val="single" w:sz="4" w:space="0" w:color="auto"/>
                    <w:right w:val="single" w:sz="4" w:space="0" w:color="auto"/>
                  </w:tcBorders>
                  <w:shd w:val="clear" w:color="auto" w:fill="auto"/>
                  <w:vAlign w:val="center"/>
                </w:tcPr>
                <w:p w14:paraId="757FC8D5" w14:textId="77777777" w:rsidR="00742C3E" w:rsidRPr="00742C3E" w:rsidRDefault="00742C3E" w:rsidP="00742C3E">
                  <w:pPr>
                    <w:jc w:val="center"/>
                    <w:rPr>
                      <w:color w:val="538135" w:themeColor="accent6" w:themeShade="BF"/>
                      <w:sz w:val="20"/>
                      <w:szCs w:val="18"/>
                    </w:rPr>
                  </w:pPr>
                  <w:r w:rsidRPr="00742C3E">
                    <w:rPr>
                      <w:color w:val="000000" w:themeColor="text1"/>
                      <w:sz w:val="20"/>
                      <w:szCs w:val="18"/>
                    </w:rPr>
                    <w:t>3.5.2.</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42488139" w14:textId="77777777" w:rsidR="00742C3E" w:rsidRPr="00742C3E" w:rsidRDefault="00742C3E" w:rsidP="00742C3E">
                  <w:pPr>
                    <w:jc w:val="both"/>
                    <w:rPr>
                      <w:color w:val="000000" w:themeColor="text1"/>
                      <w:sz w:val="20"/>
                      <w:szCs w:val="18"/>
                    </w:rPr>
                  </w:pPr>
                  <w:r w:rsidRPr="00742C3E">
                    <w:rPr>
                      <w:color w:val="000000" w:themeColor="text1"/>
                      <w:sz w:val="20"/>
                      <w:szCs w:val="18"/>
                    </w:rPr>
                    <w:t>citas koncentrācijas, kas neatbilst vismaz 3.5.1. apakškritērijā minētajām koncentrācijām</w:t>
                  </w:r>
                </w:p>
              </w:tc>
              <w:tc>
                <w:tcPr>
                  <w:tcW w:w="1086" w:type="dxa"/>
                  <w:tcBorders>
                    <w:left w:val="single" w:sz="4" w:space="0" w:color="auto"/>
                    <w:right w:val="single" w:sz="4" w:space="0" w:color="auto"/>
                  </w:tcBorders>
                  <w:shd w:val="clear" w:color="auto" w:fill="auto"/>
                  <w:vAlign w:val="center"/>
                </w:tcPr>
                <w:p w14:paraId="72924CA2" w14:textId="77777777" w:rsidR="00742C3E" w:rsidRPr="00742C3E" w:rsidRDefault="00742C3E" w:rsidP="00742C3E">
                  <w:pPr>
                    <w:jc w:val="center"/>
                    <w:rPr>
                      <w:color w:val="000000" w:themeColor="text1"/>
                      <w:sz w:val="20"/>
                      <w:szCs w:val="18"/>
                    </w:rPr>
                  </w:pPr>
                  <w:r w:rsidRPr="00742C3E">
                    <w:rPr>
                      <w:color w:val="000000" w:themeColor="text1"/>
                      <w:sz w:val="20"/>
                      <w:szCs w:val="18"/>
                    </w:rPr>
                    <w:t>0</w:t>
                  </w:r>
                </w:p>
              </w:tc>
            </w:tr>
          </w:tbl>
          <w:p w14:paraId="1AE9D04B" w14:textId="205928A1" w:rsidR="00A57181" w:rsidRPr="00F95150" w:rsidRDefault="00A57181" w:rsidP="00177D5B">
            <w:pPr>
              <w:pStyle w:val="Standard"/>
              <w:jc w:val="both"/>
              <w:rPr>
                <w:rFonts w:cs="Times New Roman"/>
                <w:sz w:val="22"/>
              </w:rPr>
            </w:pPr>
          </w:p>
        </w:tc>
        <w:tc>
          <w:tcPr>
            <w:tcW w:w="3543" w:type="dxa"/>
          </w:tcPr>
          <w:p w14:paraId="16E89DF2" w14:textId="302EE54D" w:rsidR="00A57181" w:rsidRPr="00F95150" w:rsidRDefault="00C7103C" w:rsidP="00177D5B">
            <w:pPr>
              <w:pStyle w:val="Standard"/>
              <w:jc w:val="both"/>
              <w:rPr>
                <w:rFonts w:cs="Times New Roman"/>
                <w:sz w:val="22"/>
              </w:rPr>
            </w:pPr>
            <w:r>
              <w:rPr>
                <w:rFonts w:cs="Times New Roman"/>
                <w:sz w:val="22"/>
              </w:rPr>
              <w:t xml:space="preserve">Lūdzam precizēt 3.5. kritērija redakciju, pamatojoties uz izziņas </w:t>
            </w:r>
            <w:r w:rsidR="00531F09">
              <w:rPr>
                <w:rFonts w:cs="Times New Roman"/>
                <w:sz w:val="22"/>
              </w:rPr>
              <w:t>3</w:t>
            </w:r>
            <w:r>
              <w:rPr>
                <w:rFonts w:cs="Times New Roman"/>
                <w:sz w:val="22"/>
              </w:rPr>
              <w:t>. punktā sniegto skaidrojumu.</w:t>
            </w:r>
          </w:p>
        </w:tc>
      </w:tr>
      <w:tr w:rsidR="00CD5ABA" w:rsidRPr="00F95150" w14:paraId="4121288E" w14:textId="77777777" w:rsidTr="00CE0989">
        <w:tc>
          <w:tcPr>
            <w:tcW w:w="15593" w:type="dxa"/>
            <w:gridSpan w:val="5"/>
            <w:shd w:val="clear" w:color="auto" w:fill="C5E0B3" w:themeFill="accent6" w:themeFillTint="66"/>
          </w:tcPr>
          <w:p w14:paraId="28CC4FE1" w14:textId="576F517F" w:rsidR="00CD5ABA" w:rsidRPr="00221F4C" w:rsidRDefault="00CD5ABA" w:rsidP="00177D5B">
            <w:pPr>
              <w:pStyle w:val="Standard"/>
              <w:jc w:val="both"/>
              <w:rPr>
                <w:b/>
                <w:bCs/>
                <w:sz w:val="22"/>
              </w:rPr>
            </w:pPr>
            <w:r w:rsidRPr="00221F4C">
              <w:rPr>
                <w:b/>
                <w:bCs/>
                <w:sz w:val="22"/>
              </w:rPr>
              <w:t xml:space="preserve">Par projektu iesniegumu vērtēšanas kritēriju </w:t>
            </w:r>
            <w:r w:rsidR="00221F4C" w:rsidRPr="00221F4C">
              <w:rPr>
                <w:b/>
                <w:bCs/>
                <w:sz w:val="22"/>
              </w:rPr>
              <w:t>piemērošanas metodiku</w:t>
            </w:r>
          </w:p>
        </w:tc>
      </w:tr>
      <w:tr w:rsidR="002447A4" w:rsidRPr="00F95150" w14:paraId="79775358" w14:textId="77777777" w:rsidTr="00CE0989">
        <w:tc>
          <w:tcPr>
            <w:tcW w:w="508" w:type="dxa"/>
          </w:tcPr>
          <w:p w14:paraId="4777CC92" w14:textId="77777777" w:rsidR="002447A4" w:rsidRPr="004C2517" w:rsidRDefault="002447A4" w:rsidP="00A57181">
            <w:pPr>
              <w:pStyle w:val="Standard"/>
              <w:numPr>
                <w:ilvl w:val="0"/>
                <w:numId w:val="13"/>
              </w:numPr>
              <w:ind w:hanging="1049"/>
              <w:jc w:val="center"/>
              <w:rPr>
                <w:sz w:val="22"/>
              </w:rPr>
            </w:pPr>
          </w:p>
        </w:tc>
        <w:tc>
          <w:tcPr>
            <w:tcW w:w="1049" w:type="dxa"/>
          </w:tcPr>
          <w:p w14:paraId="59EFD12F" w14:textId="327F99D4" w:rsidR="002447A4" w:rsidRDefault="002447A4" w:rsidP="00177D5B">
            <w:pPr>
              <w:pStyle w:val="Standard"/>
              <w:jc w:val="both"/>
              <w:rPr>
                <w:b/>
                <w:bCs/>
                <w:sz w:val="22"/>
              </w:rPr>
            </w:pPr>
            <w:r>
              <w:rPr>
                <w:b/>
                <w:bCs/>
                <w:sz w:val="22"/>
              </w:rPr>
              <w:t>Nr. 1.1.</w:t>
            </w:r>
          </w:p>
        </w:tc>
        <w:tc>
          <w:tcPr>
            <w:tcW w:w="4634" w:type="dxa"/>
          </w:tcPr>
          <w:p w14:paraId="6038D13D" w14:textId="643D2A0A" w:rsidR="002447A4" w:rsidRPr="009E69BB" w:rsidRDefault="002447A4" w:rsidP="006376E7">
            <w:pPr>
              <w:rPr>
                <w:b/>
                <w:bCs/>
                <w:color w:val="000000" w:themeColor="text1"/>
              </w:rPr>
            </w:pPr>
            <w:r>
              <w:rPr>
                <w:b/>
                <w:bCs/>
                <w:color w:val="000000" w:themeColor="text1"/>
              </w:rPr>
              <w:t>-</w:t>
            </w:r>
          </w:p>
        </w:tc>
        <w:tc>
          <w:tcPr>
            <w:tcW w:w="5859" w:type="dxa"/>
          </w:tcPr>
          <w:p w14:paraId="66171690" w14:textId="77777777" w:rsidR="006F60E8" w:rsidRPr="009E69BB" w:rsidRDefault="006F60E8" w:rsidP="006F60E8">
            <w:pPr>
              <w:rPr>
                <w:b/>
                <w:bCs/>
                <w:color w:val="000000" w:themeColor="text1"/>
              </w:rPr>
            </w:pPr>
            <w:r w:rsidRPr="009E69BB">
              <w:rPr>
                <w:b/>
                <w:bCs/>
                <w:color w:val="000000" w:themeColor="text1"/>
              </w:rPr>
              <w:t>Skaidrojums atbilstības noteikšanai</w:t>
            </w:r>
          </w:p>
          <w:p w14:paraId="1011B360" w14:textId="77777777" w:rsidR="005453E0" w:rsidRPr="005453E0" w:rsidRDefault="005453E0" w:rsidP="005453E0">
            <w:pPr>
              <w:widowControl/>
              <w:suppressAutoHyphens w:val="0"/>
              <w:autoSpaceDN/>
              <w:jc w:val="both"/>
              <w:textAlignment w:val="auto"/>
              <w:rPr>
                <w:rFonts w:eastAsia="Times New Roman" w:cs="Times New Roman"/>
                <w:kern w:val="0"/>
                <w:szCs w:val="24"/>
              </w:rPr>
            </w:pPr>
            <w:r w:rsidRPr="005453E0">
              <w:rPr>
                <w:rFonts w:eastAsia="Times New Roman" w:cs="Times New Roman"/>
                <w:b/>
                <w:bCs/>
                <w:kern w:val="0"/>
                <w:szCs w:val="24"/>
              </w:rPr>
              <w:t>Vērtējums ir “Jā”,</w:t>
            </w:r>
            <w:r w:rsidRPr="005453E0">
              <w:rPr>
                <w:rFonts w:eastAsia="Times New Roman" w:cs="Times New Roman"/>
                <w:kern w:val="0"/>
                <w:szCs w:val="24"/>
              </w:rPr>
              <w:t xml:space="preserve"> ja projekta iesniegumā un projekta iesniegumam pievienotajos pielikumos, kas uzskaitīti nolikumā, norādītais Eiropas Reģionālās attīstības fonda finansējums un tā atbalsta intensitāte atbilst MK noteikumos par SAM īstenošanu noteiktajam ES fonda finansējuma </w:t>
            </w:r>
            <w:r w:rsidRPr="005453E0">
              <w:rPr>
                <w:rFonts w:eastAsia="Times New Roman" w:cs="Times New Roman"/>
                <w:kern w:val="0"/>
                <w:szCs w:val="24"/>
              </w:rPr>
              <w:lastRenderedPageBreak/>
              <w:t xml:space="preserve">apjomam un atbalsta intensitātei, un projekta iesniegumā plānotās izmaksas atbilst MK noteikumos par SAM īstenošanu noteiktajām izmaksu pozīcijām un nepārsniedz to noteiktos apjomus (ja attiecināms), tai skaitā: </w:t>
            </w:r>
          </w:p>
          <w:p w14:paraId="121B1B42" w14:textId="77777777" w:rsidR="005453E0" w:rsidRPr="005453E0" w:rsidRDefault="005453E0" w:rsidP="005453E0">
            <w:pPr>
              <w:widowControl/>
              <w:numPr>
                <w:ilvl w:val="0"/>
                <w:numId w:val="14"/>
              </w:numPr>
              <w:suppressAutoHyphens w:val="0"/>
              <w:autoSpaceDN/>
              <w:jc w:val="both"/>
              <w:textAlignment w:val="auto"/>
              <w:rPr>
                <w:rFonts w:eastAsia="Times New Roman" w:cs="Times New Roman"/>
                <w:kern w:val="0"/>
                <w:szCs w:val="24"/>
              </w:rPr>
            </w:pPr>
            <w:r w:rsidRPr="005453E0">
              <w:rPr>
                <w:rFonts w:eastAsia="Times New Roman" w:cs="Times New Roman"/>
                <w:kern w:val="0"/>
                <w:szCs w:val="24"/>
              </w:rPr>
              <w:t xml:space="preserve">izmaksas ir nepieciešamas projekta plānoto darbību īstenošanai; </w:t>
            </w:r>
          </w:p>
          <w:p w14:paraId="08139315" w14:textId="77777777" w:rsidR="00E546D0" w:rsidRDefault="005453E0" w:rsidP="005453E0">
            <w:pPr>
              <w:widowControl/>
              <w:numPr>
                <w:ilvl w:val="0"/>
                <w:numId w:val="14"/>
              </w:numPr>
              <w:suppressAutoHyphens w:val="0"/>
              <w:autoSpaceDN/>
              <w:jc w:val="both"/>
              <w:textAlignment w:val="auto"/>
              <w:rPr>
                <w:rFonts w:eastAsia="Times New Roman" w:cs="Times New Roman"/>
                <w:kern w:val="0"/>
                <w:szCs w:val="24"/>
              </w:rPr>
            </w:pPr>
            <w:r w:rsidRPr="005453E0">
              <w:rPr>
                <w:rFonts w:eastAsia="Times New Roman" w:cs="Times New Roman"/>
                <w:kern w:val="0"/>
                <w:szCs w:val="24"/>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5453E0">
              <w:rPr>
                <w:rFonts w:eastAsia="Times New Roman" w:cs="Times New Roman"/>
                <w:kern w:val="0"/>
                <w:szCs w:val="24"/>
                <w:vertAlign w:val="superscript"/>
              </w:rPr>
              <w:footnoteReference w:id="2"/>
            </w:r>
            <w:r w:rsidRPr="005453E0">
              <w:rPr>
                <w:rFonts w:eastAsia="Times New Roman" w:cs="Times New Roman"/>
                <w:kern w:val="0"/>
                <w:szCs w:val="24"/>
              </w:rPr>
              <w:t>, noslēgtiem nodomu protokoliem vai līgumiem (ja attiecināms), u.c. informāciju);</w:t>
            </w:r>
          </w:p>
          <w:p w14:paraId="57B5A498" w14:textId="7CC40C2A" w:rsidR="002447A4" w:rsidRPr="00E546D0" w:rsidRDefault="005453E0" w:rsidP="005453E0">
            <w:pPr>
              <w:widowControl/>
              <w:numPr>
                <w:ilvl w:val="0"/>
                <w:numId w:val="14"/>
              </w:numPr>
              <w:suppressAutoHyphens w:val="0"/>
              <w:autoSpaceDN/>
              <w:jc w:val="both"/>
              <w:textAlignment w:val="auto"/>
              <w:rPr>
                <w:rFonts w:eastAsia="Times New Roman" w:cs="Times New Roman"/>
                <w:kern w:val="0"/>
                <w:szCs w:val="24"/>
              </w:rPr>
            </w:pPr>
            <w:r w:rsidRPr="00E546D0">
              <w:rPr>
                <w:rFonts w:eastAsia="Times New Roman" w:cs="Times New Roman"/>
                <w:kern w:val="0"/>
                <w:szCs w:val="24"/>
              </w:rPr>
              <w:t>izmaksas nodrošina projektā izvirzītā mērķa un rādītāju sasniegšanu.</w:t>
            </w:r>
          </w:p>
          <w:p w14:paraId="458E5648" w14:textId="77777777" w:rsidR="007878E2" w:rsidRPr="003F426F" w:rsidRDefault="007878E2" w:rsidP="005453E0">
            <w:pPr>
              <w:rPr>
                <w:rFonts w:eastAsia="Times New Roman"/>
                <w:szCs w:val="24"/>
                <w:lang w:eastAsia="x-none"/>
              </w:rPr>
            </w:pPr>
            <w:r w:rsidRPr="003F426F">
              <w:rPr>
                <w:rFonts w:eastAsia="Times New Roman"/>
                <w:szCs w:val="24"/>
                <w:lang w:eastAsia="x-none"/>
              </w:rPr>
              <w:t xml:space="preserve">Ja projekta iesniegums neatbilst minētajām prasībām, vērtējums ir </w:t>
            </w:r>
            <w:r w:rsidRPr="003F426F">
              <w:rPr>
                <w:rFonts w:eastAsia="Times New Roman"/>
                <w:b/>
                <w:szCs w:val="24"/>
                <w:lang w:eastAsia="x-none"/>
              </w:rPr>
              <w:t>“Jā, ar nosacījumu”</w:t>
            </w:r>
            <w:r w:rsidRPr="003F426F">
              <w:rPr>
                <w:rFonts w:eastAsia="Times New Roman"/>
                <w:szCs w:val="24"/>
                <w:lang w:eastAsia="x-none"/>
              </w:rPr>
              <w:t xml:space="preserve"> un izvirza atbilstošus nosacījumus.</w:t>
            </w:r>
          </w:p>
          <w:p w14:paraId="7EBFF0D7" w14:textId="0090D51D" w:rsidR="003F426F" w:rsidRPr="003F426F" w:rsidRDefault="003F426F" w:rsidP="005453E0">
            <w:pPr>
              <w:rPr>
                <w:b/>
                <w:bCs/>
              </w:rPr>
            </w:pPr>
            <w:r w:rsidRPr="003F426F">
              <w:rPr>
                <w:b/>
                <w:bCs/>
                <w:lang w:eastAsia="lv-LV"/>
              </w:rPr>
              <w:t>Vērtējums ir “Nē”</w:t>
            </w:r>
            <w:r w:rsidRPr="003F426F">
              <w:rPr>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c>
          <w:tcPr>
            <w:tcW w:w="3543" w:type="dxa"/>
          </w:tcPr>
          <w:p w14:paraId="24876696" w14:textId="71258898" w:rsidR="002447A4" w:rsidRPr="00BD36CD" w:rsidRDefault="003F426F" w:rsidP="00177D5B">
            <w:pPr>
              <w:pStyle w:val="Standard"/>
              <w:jc w:val="both"/>
              <w:rPr>
                <w:sz w:val="22"/>
              </w:rPr>
            </w:pPr>
            <w:r>
              <w:rPr>
                <w:sz w:val="22"/>
              </w:rPr>
              <w:lastRenderedPageBreak/>
              <w:t xml:space="preserve">Lūdzam papildināt projektu iesniegumu vērtēšanas kritēriju piemērošanas metodiku ar 1.1. kritērija skaidrojumu atbilstoši 2024. gada 11. aprīlī Eiropas Savienības fondu 2021.–2027. </w:t>
            </w:r>
            <w:r>
              <w:rPr>
                <w:sz w:val="22"/>
              </w:rPr>
              <w:lastRenderedPageBreak/>
              <w:t xml:space="preserve">gada plānošanas perioda Uzraudzības komitejā apstiprinātajiem </w:t>
            </w:r>
            <w:r w:rsidRPr="00B96861">
              <w:rPr>
                <w:sz w:val="22"/>
              </w:rPr>
              <w:t>Eiropas Reģionālās attīstības fonda, Eiropas Sociālā fonda plus, Kohēzijas fonda un Taisnīgas pārkārtošanās fonda projektu iesniegumu atlases metodikas 2021.–2027.</w:t>
            </w:r>
            <w:r w:rsidR="00A71C4D">
              <w:rPr>
                <w:sz w:val="22"/>
              </w:rPr>
              <w:t xml:space="preserve"> </w:t>
            </w:r>
            <w:r w:rsidRPr="00B96861">
              <w:rPr>
                <w:sz w:val="22"/>
              </w:rPr>
              <w:t>gadam</w:t>
            </w:r>
            <w:r>
              <w:rPr>
                <w:sz w:val="22"/>
              </w:rPr>
              <w:t xml:space="preserve"> grozījumiem.</w:t>
            </w:r>
          </w:p>
        </w:tc>
      </w:tr>
      <w:tr w:rsidR="00F054B2" w:rsidRPr="00F95150" w14:paraId="56DD817A" w14:textId="77777777" w:rsidTr="00CE0989">
        <w:tc>
          <w:tcPr>
            <w:tcW w:w="508" w:type="dxa"/>
          </w:tcPr>
          <w:p w14:paraId="6521F3EE" w14:textId="77777777" w:rsidR="00F054B2" w:rsidRPr="004C2517" w:rsidRDefault="00F054B2" w:rsidP="00A57181">
            <w:pPr>
              <w:pStyle w:val="Standard"/>
              <w:numPr>
                <w:ilvl w:val="0"/>
                <w:numId w:val="13"/>
              </w:numPr>
              <w:ind w:hanging="1049"/>
              <w:jc w:val="center"/>
              <w:rPr>
                <w:sz w:val="22"/>
              </w:rPr>
            </w:pPr>
          </w:p>
        </w:tc>
        <w:tc>
          <w:tcPr>
            <w:tcW w:w="1049" w:type="dxa"/>
          </w:tcPr>
          <w:p w14:paraId="6297D50A" w14:textId="26513767" w:rsidR="00F054B2" w:rsidRDefault="00F054B2" w:rsidP="00177D5B">
            <w:pPr>
              <w:pStyle w:val="Standard"/>
              <w:jc w:val="both"/>
              <w:rPr>
                <w:b/>
                <w:bCs/>
                <w:sz w:val="22"/>
              </w:rPr>
            </w:pPr>
            <w:r>
              <w:rPr>
                <w:b/>
                <w:bCs/>
                <w:sz w:val="22"/>
              </w:rPr>
              <w:t xml:space="preserve">Nr. </w:t>
            </w:r>
            <w:r w:rsidR="0035600C">
              <w:rPr>
                <w:b/>
                <w:bCs/>
                <w:sz w:val="22"/>
              </w:rPr>
              <w:t>1.1.</w:t>
            </w:r>
          </w:p>
        </w:tc>
        <w:tc>
          <w:tcPr>
            <w:tcW w:w="4634" w:type="dxa"/>
          </w:tcPr>
          <w:p w14:paraId="48811FCF" w14:textId="77777777" w:rsidR="006F60E8" w:rsidRPr="009E69BB" w:rsidRDefault="006F60E8" w:rsidP="006F60E8">
            <w:pPr>
              <w:rPr>
                <w:b/>
                <w:bCs/>
                <w:color w:val="000000" w:themeColor="text1"/>
              </w:rPr>
            </w:pPr>
            <w:r w:rsidRPr="009E69BB">
              <w:rPr>
                <w:b/>
                <w:bCs/>
                <w:color w:val="000000" w:themeColor="text1"/>
              </w:rPr>
              <w:t>Skaidrojums atbilstības noteikšanai</w:t>
            </w:r>
          </w:p>
          <w:p w14:paraId="44369D6C" w14:textId="77777777" w:rsidR="0082399C" w:rsidRPr="0082399C" w:rsidRDefault="0082399C" w:rsidP="0082399C">
            <w:pPr>
              <w:widowControl/>
              <w:suppressAutoHyphens w:val="0"/>
              <w:autoSpaceDN/>
              <w:spacing w:after="60"/>
              <w:ind w:left="28"/>
              <w:jc w:val="both"/>
              <w:textAlignment w:val="auto"/>
              <w:rPr>
                <w:rFonts w:eastAsia="Times New Roman" w:cs="Times New Roman"/>
                <w:color w:val="000000"/>
                <w:kern w:val="0"/>
                <w:szCs w:val="24"/>
                <w:lang w:eastAsia="x-none"/>
              </w:rPr>
            </w:pPr>
            <w:r w:rsidRPr="0082399C">
              <w:rPr>
                <w:rFonts w:eastAsia="Times New Roman" w:cs="Times New Roman"/>
                <w:b/>
                <w:bCs/>
                <w:color w:val="000000"/>
                <w:kern w:val="0"/>
                <w:szCs w:val="24"/>
                <w:lang w:eastAsia="x-none"/>
              </w:rPr>
              <w:t>Projekta administrēšanas un īstenošanas kapacitāte</w:t>
            </w:r>
            <w:r w:rsidRPr="0082399C">
              <w:rPr>
                <w:rFonts w:eastAsia="Times New Roman" w:cs="Times New Roman"/>
                <w:color w:val="000000"/>
                <w:kern w:val="0"/>
                <w:szCs w:val="24"/>
                <w:lang w:eastAsia="x-none"/>
              </w:rPr>
              <w:t xml:space="preserve"> ir pietiekama, ja projekta iesniegumā ir aprakstīts projekta vadības process un tā organizēšana, un norādīti vadības procesa organizēšanai nepieciešamie </w:t>
            </w:r>
            <w:r w:rsidRPr="0082399C">
              <w:rPr>
                <w:rFonts w:eastAsia="Times New Roman" w:cs="Times New Roman"/>
                <w:color w:val="000000"/>
                <w:kern w:val="0"/>
                <w:szCs w:val="24"/>
                <w:lang w:eastAsia="x-none"/>
              </w:rPr>
              <w:lastRenderedPageBreak/>
              <w:t xml:space="preserve">atbildīgie speciālisti – to pieejamība vai plānotā iesaistīšana projekta ieviešanas laikā (noslodze), tiem plānotā nepieciešamā kvalifikācija, pieredze un kompetence, veicot šādus procesus: </w:t>
            </w:r>
          </w:p>
          <w:p w14:paraId="7E4205A2" w14:textId="77777777" w:rsidR="0082399C" w:rsidRPr="0082399C" w:rsidRDefault="0082399C" w:rsidP="0082399C">
            <w:pPr>
              <w:widowControl/>
              <w:numPr>
                <w:ilvl w:val="0"/>
                <w:numId w:val="15"/>
              </w:numPr>
              <w:suppressAutoHyphens w:val="0"/>
              <w:autoSpaceDN/>
              <w:jc w:val="both"/>
              <w:textAlignment w:val="auto"/>
              <w:rPr>
                <w:rFonts w:eastAsia="Times New Roman" w:cs="Times New Roman"/>
                <w:color w:val="000000"/>
                <w:kern w:val="0"/>
                <w:szCs w:val="24"/>
                <w:lang w:eastAsia="x-none"/>
              </w:rPr>
            </w:pPr>
            <w:r w:rsidRPr="0082399C">
              <w:rPr>
                <w:rFonts w:eastAsia="Times New Roman" w:cs="Times New Roman"/>
                <w:color w:val="000000"/>
                <w:kern w:val="0"/>
                <w:szCs w:val="24"/>
                <w:lang w:eastAsia="x-none"/>
              </w:rPr>
              <w:t>iepirkumu, līgumu administrāciju, lietvedību,</w:t>
            </w:r>
          </w:p>
          <w:p w14:paraId="45DF0A0B" w14:textId="77777777" w:rsidR="0082399C" w:rsidRPr="0082399C" w:rsidRDefault="0082399C" w:rsidP="0082399C">
            <w:pPr>
              <w:widowControl/>
              <w:numPr>
                <w:ilvl w:val="0"/>
                <w:numId w:val="15"/>
              </w:numPr>
              <w:suppressAutoHyphens w:val="0"/>
              <w:autoSpaceDN/>
              <w:jc w:val="both"/>
              <w:textAlignment w:val="auto"/>
              <w:rPr>
                <w:rFonts w:eastAsia="Times New Roman" w:cs="Times New Roman"/>
                <w:color w:val="000000"/>
                <w:kern w:val="0"/>
                <w:szCs w:val="24"/>
                <w:lang w:eastAsia="x-none"/>
              </w:rPr>
            </w:pPr>
            <w:r w:rsidRPr="0082399C">
              <w:rPr>
                <w:rFonts w:eastAsia="Times New Roman" w:cs="Times New Roman"/>
                <w:color w:val="000000"/>
                <w:kern w:val="0"/>
                <w:szCs w:val="24"/>
                <w:lang w:eastAsia="x-none"/>
              </w:rPr>
              <w:t>grāmatvedības uzskaiti, maksājumu pārbaudes un veikšanu, finanšu plānošanu,</w:t>
            </w:r>
          </w:p>
          <w:p w14:paraId="18911AF2" w14:textId="77777777" w:rsidR="0082399C" w:rsidRPr="0082399C" w:rsidRDefault="0082399C" w:rsidP="0082399C">
            <w:pPr>
              <w:widowControl/>
              <w:numPr>
                <w:ilvl w:val="0"/>
                <w:numId w:val="15"/>
              </w:numPr>
              <w:suppressAutoHyphens w:val="0"/>
              <w:autoSpaceDN/>
              <w:jc w:val="both"/>
              <w:textAlignment w:val="auto"/>
              <w:rPr>
                <w:rFonts w:eastAsia="Times New Roman" w:cs="Times New Roman"/>
                <w:color w:val="000000"/>
                <w:kern w:val="0"/>
                <w:szCs w:val="24"/>
                <w:lang w:eastAsia="x-none"/>
              </w:rPr>
            </w:pPr>
            <w:r w:rsidRPr="0082399C">
              <w:rPr>
                <w:rFonts w:eastAsia="Times New Roman" w:cs="Times New Roman"/>
                <w:color w:val="000000"/>
                <w:kern w:val="0"/>
                <w:szCs w:val="24"/>
                <w:lang w:eastAsia="x-none"/>
              </w:rPr>
              <w:t>citu sadarbības iestādei iesniedzamo dokumentu sagatavošanu, ja attiecināms.</w:t>
            </w:r>
          </w:p>
          <w:p w14:paraId="11C36C51" w14:textId="77777777" w:rsidR="0082399C" w:rsidRPr="0082399C" w:rsidRDefault="0082399C" w:rsidP="0082399C">
            <w:pPr>
              <w:widowControl/>
              <w:suppressAutoHyphens w:val="0"/>
              <w:autoSpaceDN/>
              <w:jc w:val="both"/>
              <w:textAlignment w:val="auto"/>
              <w:rPr>
                <w:rFonts w:eastAsia="Times New Roman" w:cs="Times New Roman"/>
                <w:color w:val="000000"/>
                <w:kern w:val="0"/>
                <w:szCs w:val="24"/>
                <w:lang w:val="lv" w:eastAsia="lv-LV"/>
              </w:rPr>
            </w:pPr>
            <w:r w:rsidRPr="0082399C">
              <w:rPr>
                <w:rFonts w:eastAsia="Times New Roman" w:cs="Times New Roman"/>
                <w:color w:val="000000"/>
                <w:kern w:val="0"/>
                <w:szCs w:val="24"/>
                <w:lang w:val="lv" w:eastAsia="lv-LV"/>
              </w:rPr>
              <w:t>Projekta iesniegumā ir iekļauts:</w:t>
            </w:r>
          </w:p>
          <w:p w14:paraId="111F0DF6" w14:textId="77777777" w:rsidR="0082399C" w:rsidRPr="0082399C" w:rsidRDefault="0082399C" w:rsidP="0082399C">
            <w:pPr>
              <w:widowControl/>
              <w:numPr>
                <w:ilvl w:val="0"/>
                <w:numId w:val="16"/>
              </w:numPr>
              <w:suppressAutoHyphens w:val="0"/>
              <w:autoSpaceDN/>
              <w:jc w:val="both"/>
              <w:textAlignment w:val="auto"/>
              <w:rPr>
                <w:rFonts w:eastAsia="Times New Roman" w:cs="Times New Roman"/>
                <w:color w:val="000000"/>
                <w:kern w:val="0"/>
                <w:szCs w:val="24"/>
                <w:lang w:val="lv" w:eastAsia="x-none"/>
              </w:rPr>
            </w:pPr>
            <w:r w:rsidRPr="0082399C">
              <w:rPr>
                <w:rFonts w:eastAsia="Times New Roman" w:cs="Times New Roman"/>
                <w:color w:val="000000"/>
                <w:kern w:val="0"/>
                <w:szCs w:val="24"/>
                <w:lang w:val="lv" w:eastAsia="x-none"/>
              </w:rPr>
              <w:t xml:space="preserve">uzraudzības apraksts – darbību apraksts sekmīgai projekta īstenošanai, uzraudzības instrumenti projekta īstenošanas kvalitātes nodrošināšanai un kontrolei; </w:t>
            </w:r>
          </w:p>
          <w:p w14:paraId="6F67421F" w14:textId="77777777" w:rsidR="0082399C" w:rsidRPr="0082399C" w:rsidRDefault="0082399C" w:rsidP="0082399C">
            <w:pPr>
              <w:widowControl/>
              <w:numPr>
                <w:ilvl w:val="0"/>
                <w:numId w:val="16"/>
              </w:numPr>
              <w:suppressAutoHyphens w:val="0"/>
              <w:autoSpaceDN/>
              <w:spacing w:after="120"/>
              <w:jc w:val="both"/>
              <w:textAlignment w:val="auto"/>
              <w:rPr>
                <w:rFonts w:eastAsia="Times New Roman" w:cs="Times New Roman"/>
                <w:color w:val="000000"/>
                <w:kern w:val="0"/>
                <w:szCs w:val="24"/>
                <w:lang w:eastAsia="x-none"/>
              </w:rPr>
            </w:pPr>
            <w:r w:rsidRPr="0082399C">
              <w:rPr>
                <w:rFonts w:eastAsia="Times New Roman" w:cs="Times New Roman"/>
                <w:color w:val="000000"/>
                <w:kern w:val="0"/>
                <w:szCs w:val="24"/>
                <w:lang w:val="lv" w:eastAsia="lv-LV"/>
              </w:rPr>
              <w:t xml:space="preserve">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 arī attiecībā uz rīcību sadārdzinājuma gadījumā. Projekta iesnieguma vērtēšanas laikā pieejamā tiesiskā un faktiskā informācija, kas saistīta ar šiem avotiem, nerada šaubas par projekta iesniedzēja finanšu </w:t>
            </w:r>
            <w:r w:rsidRPr="0082399C">
              <w:rPr>
                <w:rFonts w:eastAsia="Times New Roman" w:cs="Times New Roman"/>
                <w:color w:val="000000"/>
                <w:kern w:val="0"/>
                <w:szCs w:val="24"/>
                <w:lang w:val="lv" w:eastAsia="lv-LV"/>
              </w:rPr>
              <w:lastRenderedPageBreak/>
              <w:t>kapacitāti projekta īstenošanai visā projekta īstenošanas periodā.</w:t>
            </w:r>
            <w:r w:rsidRPr="0082399C">
              <w:rPr>
                <w:rFonts w:eastAsia="Times New Roman" w:cs="Times New Roman"/>
                <w:color w:val="000000"/>
                <w:kern w:val="0"/>
                <w:szCs w:val="24"/>
                <w:lang w:eastAsia="lv-LV"/>
              </w:rPr>
              <w:t xml:space="preserve"> </w:t>
            </w:r>
            <w:r w:rsidRPr="0082399C">
              <w:rPr>
                <w:rFonts w:eastAsia="Times New Roman" w:cs="Times New Roman"/>
                <w:color w:val="000000"/>
                <w:kern w:val="0"/>
                <w:szCs w:val="24"/>
                <w:lang w:val="lv" w:eastAsia="lv-LV"/>
              </w:rPr>
              <w:t>Vērtējot projektu, ņem vērā, ka projekta vadības izmaksas nav attiecināmas un tās sedz projekta iesniedzējs, tamdēļ šī izmaksu pozīcija projekta iesniegumā netiek uzrādīta.</w:t>
            </w:r>
          </w:p>
          <w:p w14:paraId="6760A276" w14:textId="77777777" w:rsidR="0082399C" w:rsidRPr="0082399C" w:rsidRDefault="0082399C" w:rsidP="0082399C">
            <w:pPr>
              <w:widowControl/>
              <w:suppressAutoHyphens w:val="0"/>
              <w:autoSpaceDN/>
              <w:jc w:val="both"/>
              <w:textAlignment w:val="auto"/>
              <w:rPr>
                <w:rFonts w:eastAsia="Times New Roman" w:cs="Times New Roman"/>
                <w:color w:val="000000"/>
                <w:kern w:val="0"/>
                <w:szCs w:val="24"/>
                <w:lang w:eastAsia="x-none"/>
              </w:rPr>
            </w:pPr>
            <w:r w:rsidRPr="0082399C">
              <w:rPr>
                <w:rFonts w:eastAsia="Times New Roman" w:cs="Times New Roman"/>
                <w:b/>
                <w:bCs/>
                <w:color w:val="000000"/>
                <w:kern w:val="0"/>
                <w:szCs w:val="24"/>
                <w:lang w:eastAsia="x-none"/>
              </w:rPr>
              <w:t>Finanšu kapacitāte</w:t>
            </w:r>
            <w:r w:rsidRPr="0082399C">
              <w:rPr>
                <w:rFonts w:eastAsia="Times New Roman" w:cs="Times New Roman"/>
                <w:color w:val="000000"/>
                <w:kern w:val="0"/>
                <w:szCs w:val="24"/>
                <w:lang w:eastAsia="x-none"/>
              </w:rPr>
              <w:t xml:space="preserve"> ir pietiekama, ja:</w:t>
            </w:r>
          </w:p>
          <w:p w14:paraId="014564CF" w14:textId="77777777" w:rsidR="0082399C" w:rsidRPr="0082399C" w:rsidRDefault="0082399C" w:rsidP="0082399C">
            <w:pPr>
              <w:widowControl/>
              <w:numPr>
                <w:ilvl w:val="0"/>
                <w:numId w:val="15"/>
              </w:numPr>
              <w:suppressAutoHyphens w:val="0"/>
              <w:autoSpaceDN/>
              <w:spacing w:after="120"/>
              <w:jc w:val="both"/>
              <w:textAlignment w:val="auto"/>
              <w:rPr>
                <w:rFonts w:eastAsia="Times New Roman" w:cs="Times New Roman"/>
                <w:color w:val="000000"/>
                <w:kern w:val="0"/>
                <w:szCs w:val="24"/>
                <w:lang w:eastAsia="lv-LV"/>
              </w:rPr>
            </w:pPr>
            <w:r w:rsidRPr="0082399C">
              <w:rPr>
                <w:rFonts w:eastAsia="Times New Roman" w:cs="Times New Roman"/>
                <w:color w:val="000000"/>
                <w:kern w:val="0"/>
                <w:szCs w:val="24"/>
                <w:lang w:eastAsia="lv-LV"/>
              </w:rPr>
              <w:t xml:space="preserve">norādīti un pamatoti finansējuma avoti projektā plānotā projekta iesniedzēja līdzfinansējuma nodrošināšanai; </w:t>
            </w:r>
          </w:p>
          <w:p w14:paraId="5E3907CE" w14:textId="77777777" w:rsidR="0082399C" w:rsidRPr="0082399C" w:rsidRDefault="0082399C" w:rsidP="0082399C">
            <w:pPr>
              <w:widowControl/>
              <w:numPr>
                <w:ilvl w:val="0"/>
                <w:numId w:val="15"/>
              </w:numPr>
              <w:suppressAutoHyphens w:val="0"/>
              <w:autoSpaceDN/>
              <w:spacing w:after="120"/>
              <w:jc w:val="both"/>
              <w:textAlignment w:val="auto"/>
              <w:rPr>
                <w:rFonts w:eastAsia="Times New Roman" w:cs="Times New Roman"/>
                <w:b/>
                <w:bCs/>
                <w:color w:val="000000"/>
                <w:kern w:val="0"/>
                <w:szCs w:val="24"/>
              </w:rPr>
            </w:pPr>
            <w:r w:rsidRPr="0082399C">
              <w:rPr>
                <w:rFonts w:eastAsia="Times New Roman" w:cs="Times New Roman"/>
                <w:color w:val="000000"/>
                <w:kern w:val="0"/>
                <w:szCs w:val="24"/>
                <w:lang w:eastAsia="x-none"/>
              </w:rPr>
              <w:t>sniegts pamatojums par projekta iesniedzēja spēju nodrošināt nepieciešamo projekta iesniedzēja līdzfinansējumu, tai skaitā</w:t>
            </w:r>
            <w:r w:rsidRPr="0082399C">
              <w:rPr>
                <w:rFonts w:eastAsia="Times New Roman" w:cs="Times New Roman"/>
                <w:color w:val="000000"/>
                <w:kern w:val="0"/>
                <w:szCs w:val="24"/>
                <w:lang w:eastAsia="lv-LV"/>
              </w:rPr>
              <w:t>,</w:t>
            </w:r>
            <w:r w:rsidRPr="0082399C">
              <w:rPr>
                <w:rFonts w:eastAsia="Times New Roman" w:cs="Times New Roman"/>
                <w:color w:val="000000"/>
                <w:kern w:val="0"/>
                <w:szCs w:val="24"/>
                <w:lang w:eastAsia="x-none"/>
              </w:rPr>
              <w:t xml:space="preserve"> pamatojot projekta iesniedzēja pieejamību norādītajiem finansējuma avotiem projekta īstenošanas laikā un pamatojot nepārtrauktas finanšu plūsmas nodrošināšanu projekta ieviešanai tā plānotajā apjomā un termiņā</w:t>
            </w:r>
            <w:r w:rsidRPr="0082399C">
              <w:rPr>
                <w:rFonts w:eastAsia="Times New Roman" w:cs="Times New Roman"/>
                <w:color w:val="000000"/>
                <w:kern w:val="0"/>
                <w:szCs w:val="24"/>
                <w:lang w:eastAsia="lv-LV"/>
              </w:rPr>
              <w:t>;</w:t>
            </w:r>
          </w:p>
          <w:p w14:paraId="4CED42ED" w14:textId="77777777" w:rsidR="0082399C" w:rsidRPr="0082399C" w:rsidRDefault="0082399C" w:rsidP="0082399C">
            <w:pPr>
              <w:widowControl/>
              <w:numPr>
                <w:ilvl w:val="0"/>
                <w:numId w:val="15"/>
              </w:numPr>
              <w:suppressAutoHyphens w:val="0"/>
              <w:autoSpaceDN/>
              <w:spacing w:after="120"/>
              <w:jc w:val="both"/>
              <w:textAlignment w:val="auto"/>
              <w:rPr>
                <w:rFonts w:eastAsia="Times New Roman" w:cs="Times New Roman"/>
                <w:color w:val="000000"/>
                <w:kern w:val="0"/>
                <w:szCs w:val="24"/>
                <w:lang w:eastAsia="x-none"/>
              </w:rPr>
            </w:pPr>
            <w:r w:rsidRPr="0082399C">
              <w:rPr>
                <w:rFonts w:eastAsia="Times New Roman" w:cs="Times New Roman"/>
                <w:color w:val="000000"/>
                <w:kern w:val="0"/>
                <w:szCs w:val="24"/>
                <w:lang w:eastAsia="x-none"/>
              </w:rPr>
              <w:t>ir norādīta informācija, vai un kādā apmērā plānots pieprasīt avansu projekta īstenošanai;</w:t>
            </w:r>
          </w:p>
          <w:p w14:paraId="75D4C9D4" w14:textId="5D6280A2" w:rsidR="0082399C" w:rsidRPr="00954A37" w:rsidRDefault="0082399C" w:rsidP="0082399C">
            <w:pPr>
              <w:rPr>
                <w:rFonts w:eastAsia="Times New Roman" w:cs="Times New Roman"/>
                <w:color w:val="000000"/>
                <w:kern w:val="0"/>
                <w:szCs w:val="24"/>
                <w:lang w:eastAsia="lv-LV"/>
              </w:rPr>
            </w:pPr>
            <w:r w:rsidRPr="0082399C">
              <w:rPr>
                <w:rFonts w:eastAsia="Times New Roman" w:cs="Times New Roman"/>
                <w:color w:val="000000"/>
                <w:kern w:val="0"/>
                <w:szCs w:val="24"/>
                <w:lang w:eastAsia="lv-LV"/>
              </w:rPr>
              <w:t>norāda, vai projekta attiecināmajās izmaksās ir iekļauts pievienotās vērtības nodoklis (turpmāk – PVN) atbilstoši regulas Nr. 2021/1060  64. panta 1. punkta “c” apakšpunktā ietvertajiem nosacījumiem.</w:t>
            </w:r>
          </w:p>
        </w:tc>
        <w:tc>
          <w:tcPr>
            <w:tcW w:w="5859" w:type="dxa"/>
          </w:tcPr>
          <w:p w14:paraId="32E78794" w14:textId="77777777" w:rsidR="006F60E8" w:rsidRPr="009E69BB" w:rsidRDefault="006F60E8" w:rsidP="006F60E8">
            <w:pPr>
              <w:rPr>
                <w:b/>
                <w:bCs/>
                <w:color w:val="000000" w:themeColor="text1"/>
              </w:rPr>
            </w:pPr>
            <w:r w:rsidRPr="009E69BB">
              <w:rPr>
                <w:b/>
                <w:bCs/>
                <w:color w:val="000000" w:themeColor="text1"/>
              </w:rPr>
              <w:lastRenderedPageBreak/>
              <w:t>Skaidrojums atbilstības noteikšanai</w:t>
            </w:r>
          </w:p>
          <w:p w14:paraId="1B4698FF" w14:textId="77777777" w:rsidR="0035600C" w:rsidRPr="002E4B20" w:rsidRDefault="0035600C" w:rsidP="0035600C">
            <w:pPr>
              <w:pStyle w:val="NoSpacing"/>
              <w:spacing w:after="120"/>
              <w:jc w:val="both"/>
              <w:rPr>
                <w:rFonts w:ascii="Times New Roman" w:hAnsi="Times New Roman"/>
                <w:color w:val="000000" w:themeColor="text1"/>
                <w:sz w:val="24"/>
              </w:rPr>
            </w:pPr>
            <w:r w:rsidRPr="002E4B20">
              <w:rPr>
                <w:rFonts w:ascii="Times New Roman" w:hAnsi="Times New Roman"/>
                <w:b/>
                <w:color w:val="000000" w:themeColor="text1"/>
                <w:sz w:val="24"/>
                <w:lang w:eastAsia="lv-LV"/>
              </w:rPr>
              <w:t>Vērtējums ir “Jā”</w:t>
            </w:r>
            <w:r w:rsidRPr="002E4B20">
              <w:rPr>
                <w:rFonts w:ascii="Times New Roman" w:hAnsi="Times New Roman"/>
                <w:color w:val="000000" w:themeColor="text1"/>
                <w:sz w:val="24"/>
                <w:lang w:eastAsia="lv-LV"/>
              </w:rPr>
              <w:t xml:space="preserve">, ja projekta iesniegumā </w:t>
            </w:r>
            <w:r w:rsidRPr="002E4B20">
              <w:rPr>
                <w:rFonts w:ascii="Times New Roman" w:hAnsi="Times New Roman"/>
                <w:color w:val="000000" w:themeColor="text1"/>
                <w:sz w:val="24"/>
              </w:rPr>
              <w:t>raksturotā projekta ieviešanai nepieciešamā īstenošanas un finanšu kapacitāte ir pietiekama.</w:t>
            </w:r>
          </w:p>
          <w:p w14:paraId="7E682D20" w14:textId="77777777" w:rsidR="0035600C" w:rsidRPr="002E4B20" w:rsidRDefault="0035600C" w:rsidP="0035600C">
            <w:pPr>
              <w:pStyle w:val="ListParagraph"/>
              <w:spacing w:after="60"/>
              <w:ind w:left="28"/>
              <w:jc w:val="both"/>
              <w:rPr>
                <w:color w:val="000000" w:themeColor="text1"/>
              </w:rPr>
            </w:pPr>
            <w:r w:rsidRPr="002E4B20">
              <w:rPr>
                <w:b/>
                <w:bCs/>
                <w:color w:val="000000" w:themeColor="text1"/>
              </w:rPr>
              <w:t>Projekta administrēšanas un īstenošanas kapacitāte</w:t>
            </w:r>
            <w:r w:rsidRPr="002E4B20">
              <w:rPr>
                <w:color w:val="000000" w:themeColor="text1"/>
              </w:rPr>
              <w:t xml:space="preserve"> ir pietiekama, ja projekta iesniegumā ir aprakstīts projekta </w:t>
            </w:r>
            <w:r w:rsidRPr="002E4B20">
              <w:rPr>
                <w:color w:val="000000" w:themeColor="text1"/>
              </w:rPr>
              <w:lastRenderedPageBreak/>
              <w:t>vadības process un tā organizēšana, un norādīti vadības procesa organizēšanai nepieciešamie atbildīgie speciālisti – to pieejamība vai plānotā iesaistīšana projekta ieviešanas laikā, tiem plānotā nepieciešamā kvalifikācija, pieredze un kompetence</w:t>
            </w:r>
            <w:r>
              <w:rPr>
                <w:color w:val="000000" w:themeColor="text1"/>
              </w:rPr>
              <w:t>.</w:t>
            </w:r>
          </w:p>
          <w:p w14:paraId="7D981131" w14:textId="77777777" w:rsidR="0035600C" w:rsidRPr="002E4B20" w:rsidRDefault="0035600C" w:rsidP="0035600C">
            <w:pPr>
              <w:pStyle w:val="ListParagraph"/>
              <w:ind w:left="0"/>
              <w:jc w:val="both"/>
              <w:rPr>
                <w:color w:val="000000" w:themeColor="text1"/>
              </w:rPr>
            </w:pPr>
            <w:r w:rsidRPr="002E4B20">
              <w:rPr>
                <w:b/>
                <w:bCs/>
                <w:color w:val="000000" w:themeColor="text1"/>
              </w:rPr>
              <w:t>Finanšu kapacitāte</w:t>
            </w:r>
            <w:r w:rsidRPr="002E4B20">
              <w:rPr>
                <w:color w:val="000000" w:themeColor="text1"/>
              </w:rPr>
              <w:t xml:space="preserve"> ir pietiekama, ja:</w:t>
            </w:r>
          </w:p>
          <w:p w14:paraId="4DD88CA5" w14:textId="77777777" w:rsidR="0035600C" w:rsidRPr="002E4B20" w:rsidRDefault="0035600C" w:rsidP="0035600C">
            <w:pPr>
              <w:pStyle w:val="ListParagraph"/>
              <w:numPr>
                <w:ilvl w:val="0"/>
                <w:numId w:val="15"/>
              </w:numPr>
              <w:suppressAutoHyphens w:val="0"/>
              <w:autoSpaceDN/>
              <w:spacing w:after="120"/>
              <w:jc w:val="both"/>
              <w:textAlignment w:val="auto"/>
              <w:rPr>
                <w:color w:val="000000" w:themeColor="text1"/>
                <w:lang w:eastAsia="lv-LV"/>
              </w:rPr>
            </w:pPr>
            <w:r w:rsidRPr="002E4B20">
              <w:rPr>
                <w:color w:val="000000" w:themeColor="text1"/>
                <w:lang w:eastAsia="lv-LV"/>
              </w:rPr>
              <w:t xml:space="preserve">norādīti un pamatoti finansējuma avoti projektā plānotā projekta iesniedzēja līdzfinansējuma nodrošināšanai; </w:t>
            </w:r>
          </w:p>
          <w:p w14:paraId="07987BEC" w14:textId="77777777" w:rsidR="0035600C" w:rsidRPr="002E4B20" w:rsidRDefault="0035600C" w:rsidP="0035600C">
            <w:pPr>
              <w:pStyle w:val="ListParagraph"/>
              <w:numPr>
                <w:ilvl w:val="0"/>
                <w:numId w:val="15"/>
              </w:numPr>
              <w:suppressAutoHyphens w:val="0"/>
              <w:autoSpaceDN/>
              <w:spacing w:after="120"/>
              <w:jc w:val="both"/>
              <w:textAlignment w:val="auto"/>
              <w:rPr>
                <w:b/>
                <w:bCs/>
                <w:color w:val="000000" w:themeColor="text1"/>
              </w:rPr>
            </w:pPr>
            <w:r w:rsidRPr="002E4B20">
              <w:rPr>
                <w:color w:val="000000" w:themeColor="text1"/>
              </w:rPr>
              <w:t>sniegts pamatojums par projekta iesniedzēja spēju nodrošināt nepieciešamo projekta iesniedzēja līdzfinansējumu, tai skaitā</w:t>
            </w:r>
            <w:r w:rsidRPr="002E4B20">
              <w:rPr>
                <w:color w:val="000000" w:themeColor="text1"/>
                <w:lang w:eastAsia="lv-LV"/>
              </w:rPr>
              <w:t>,</w:t>
            </w:r>
            <w:r w:rsidRPr="002E4B20">
              <w:rPr>
                <w:color w:val="000000" w:themeColor="text1"/>
              </w:rPr>
              <w:t xml:space="preserve"> pamatojot projekta iesniedzēja pieejamību norādītajiem finansējuma avotiem projekta īstenošanas laikā un pamatojot nepārtrauktas finanšu plūsmas nodrošināšanu projekta ieviešanai tā plānotajā </w:t>
            </w:r>
            <w:r w:rsidRPr="0035600C">
              <w:t>apjomā un termiņā,</w:t>
            </w:r>
            <w:r w:rsidRPr="0035600C">
              <w:rPr>
                <w:lang w:val="lv" w:eastAsia="lv-LV"/>
              </w:rPr>
              <w:t xml:space="preserve"> arī attiecībā uz rīcību sadārdzinājuma gadījumā. Projekta iesnieguma vērtēšanas laikā pieejamā tiesiskā un faktiskā informācija, kas saistīta ar šiem avotiem, nerada šaubas par projekta iesniedzēja finanšu kapacitāti projekta īstenošanai visā projekta īstenošanas periodā.</w:t>
            </w:r>
            <w:r w:rsidRPr="0035600C">
              <w:rPr>
                <w:lang w:eastAsia="lv-LV"/>
              </w:rPr>
              <w:t xml:space="preserve"> </w:t>
            </w:r>
            <w:r w:rsidRPr="0035600C">
              <w:rPr>
                <w:lang w:val="lv" w:eastAsia="lv-LV"/>
              </w:rPr>
              <w:t>Vērtējot projektu, ņem vērā, ka projekta vadības izmaksas nav attiecināmas un tās sedz projekta iesniedzējs, tamdēļ šī izmaksu pozīcija projekta iesniegumā netiek uzrādīta</w:t>
            </w:r>
            <w:r w:rsidRPr="0035600C">
              <w:rPr>
                <w:lang w:eastAsia="lv-LV"/>
              </w:rPr>
              <w:t>;</w:t>
            </w:r>
          </w:p>
          <w:p w14:paraId="25C66A43" w14:textId="77777777" w:rsidR="0035600C" w:rsidRDefault="0035600C" w:rsidP="0035600C">
            <w:pPr>
              <w:pStyle w:val="ListParagraph"/>
              <w:numPr>
                <w:ilvl w:val="0"/>
                <w:numId w:val="15"/>
              </w:numPr>
              <w:suppressAutoHyphens w:val="0"/>
              <w:autoSpaceDN/>
              <w:spacing w:after="120"/>
              <w:jc w:val="both"/>
              <w:textAlignment w:val="auto"/>
              <w:rPr>
                <w:color w:val="000000" w:themeColor="text1"/>
              </w:rPr>
            </w:pPr>
            <w:r w:rsidRPr="002E4B20">
              <w:rPr>
                <w:color w:val="000000" w:themeColor="text1"/>
              </w:rPr>
              <w:t>ir norādīta informācija, vai un kādā apmērā plānots pieprasīt avansu projekta īstenošanai;</w:t>
            </w:r>
          </w:p>
          <w:p w14:paraId="7F4FCB1D" w14:textId="7D6EFBFF" w:rsidR="00F054B2" w:rsidRPr="0035600C" w:rsidRDefault="0035600C" w:rsidP="0035600C">
            <w:pPr>
              <w:pStyle w:val="ListParagraph"/>
              <w:numPr>
                <w:ilvl w:val="0"/>
                <w:numId w:val="15"/>
              </w:numPr>
              <w:suppressAutoHyphens w:val="0"/>
              <w:autoSpaceDN/>
              <w:spacing w:after="120"/>
              <w:jc w:val="both"/>
              <w:textAlignment w:val="auto"/>
              <w:rPr>
                <w:color w:val="000000" w:themeColor="text1"/>
              </w:rPr>
            </w:pPr>
            <w:r w:rsidRPr="0035600C">
              <w:rPr>
                <w:color w:val="000000" w:themeColor="text1"/>
              </w:rPr>
              <w:t>norāda, vai projekta attiecināmajās izmaksās ir iekļauts pievienotās vērtības nodoklis (turpmāk – PVN) atbilstoši regulas Nr. 2021/1060  64. panta 1. punkta “c” apakšpunktā ietvertajiem nosacījumiem.</w:t>
            </w:r>
          </w:p>
        </w:tc>
        <w:tc>
          <w:tcPr>
            <w:tcW w:w="3543" w:type="dxa"/>
          </w:tcPr>
          <w:p w14:paraId="3330168A" w14:textId="3E4A0A45" w:rsidR="00F054B2" w:rsidRDefault="006F60E8" w:rsidP="00177D5B">
            <w:pPr>
              <w:pStyle w:val="Standard"/>
              <w:jc w:val="both"/>
              <w:rPr>
                <w:sz w:val="22"/>
              </w:rPr>
            </w:pPr>
            <w:r>
              <w:rPr>
                <w:sz w:val="22"/>
              </w:rPr>
              <w:lastRenderedPageBreak/>
              <w:t xml:space="preserve">Lūdzam precizēt atbilstoši 2024. gada 11. aprīlī Eiropas Savienības fondu 2021.–2027. gada plānošanas perioda Uzraudzības komitejā apstiprinātajiem </w:t>
            </w:r>
            <w:r w:rsidRPr="00B96861">
              <w:rPr>
                <w:sz w:val="22"/>
              </w:rPr>
              <w:t xml:space="preserve">Eiropas Reģionālās attīstības fonda, </w:t>
            </w:r>
            <w:r w:rsidRPr="00B96861">
              <w:rPr>
                <w:sz w:val="22"/>
              </w:rPr>
              <w:lastRenderedPageBreak/>
              <w:t>Eiropas Sociālā fonda plus, Kohēzijas fonda un Taisnīgas pārkārtošanās fonda projektu iesniegumu atlases metodikas 2021.–2027.</w:t>
            </w:r>
            <w:r w:rsidR="00107F7F">
              <w:rPr>
                <w:sz w:val="22"/>
              </w:rPr>
              <w:t xml:space="preserve"> </w:t>
            </w:r>
            <w:r w:rsidRPr="00B96861">
              <w:rPr>
                <w:sz w:val="22"/>
              </w:rPr>
              <w:t>gadam</w:t>
            </w:r>
            <w:r>
              <w:rPr>
                <w:sz w:val="22"/>
              </w:rPr>
              <w:t xml:space="preserve"> grozījumiem.</w:t>
            </w:r>
          </w:p>
        </w:tc>
      </w:tr>
      <w:tr w:rsidR="00954A37" w:rsidRPr="00F95150" w14:paraId="22DAFCBE" w14:textId="77777777" w:rsidTr="00CE0989">
        <w:tc>
          <w:tcPr>
            <w:tcW w:w="508" w:type="dxa"/>
          </w:tcPr>
          <w:p w14:paraId="5E6252A6" w14:textId="77777777" w:rsidR="00954A37" w:rsidRPr="004C2517" w:rsidRDefault="00954A37" w:rsidP="00A57181">
            <w:pPr>
              <w:pStyle w:val="Standard"/>
              <w:numPr>
                <w:ilvl w:val="0"/>
                <w:numId w:val="13"/>
              </w:numPr>
              <w:ind w:hanging="1049"/>
              <w:jc w:val="center"/>
              <w:rPr>
                <w:sz w:val="22"/>
              </w:rPr>
            </w:pPr>
          </w:p>
        </w:tc>
        <w:tc>
          <w:tcPr>
            <w:tcW w:w="1049" w:type="dxa"/>
          </w:tcPr>
          <w:p w14:paraId="7D09942D" w14:textId="77777777" w:rsidR="00954A37" w:rsidRDefault="00954A37" w:rsidP="00177D5B">
            <w:pPr>
              <w:pStyle w:val="Standard"/>
              <w:jc w:val="both"/>
              <w:rPr>
                <w:b/>
                <w:bCs/>
                <w:sz w:val="22"/>
              </w:rPr>
            </w:pPr>
          </w:p>
        </w:tc>
        <w:tc>
          <w:tcPr>
            <w:tcW w:w="4634" w:type="dxa"/>
          </w:tcPr>
          <w:p w14:paraId="6E6CEB0E" w14:textId="77777777" w:rsidR="00650D7F" w:rsidRPr="009E69BB" w:rsidRDefault="00650D7F" w:rsidP="00650D7F">
            <w:pPr>
              <w:rPr>
                <w:b/>
                <w:bCs/>
                <w:color w:val="000000" w:themeColor="text1"/>
              </w:rPr>
            </w:pPr>
            <w:r w:rsidRPr="009E69BB">
              <w:rPr>
                <w:b/>
                <w:bCs/>
                <w:color w:val="000000" w:themeColor="text1"/>
              </w:rPr>
              <w:t>Skaidrojums atbilstības noteikšanai</w:t>
            </w:r>
          </w:p>
          <w:p w14:paraId="7386756F" w14:textId="1BB889D0" w:rsidR="00954A37" w:rsidRPr="009E69BB" w:rsidRDefault="00650D7F" w:rsidP="006F60E8">
            <w:pPr>
              <w:rPr>
                <w:b/>
                <w:bCs/>
                <w:color w:val="000000" w:themeColor="text1"/>
              </w:rPr>
            </w:pPr>
            <w:r w:rsidRPr="002E4B20">
              <w:rPr>
                <w:color w:val="000000" w:themeColor="text1"/>
              </w:rPr>
              <w:t xml:space="preserve">Projekta iesniegumā ietvertās plānotās darbības atbilst MK noteikumos par SAMP </w:t>
            </w:r>
            <w:r w:rsidRPr="002E4B20">
              <w:rPr>
                <w:color w:val="000000" w:themeColor="text1"/>
              </w:rPr>
              <w:lastRenderedPageBreak/>
              <w:t>īstenošanu norādītajām izmaksu pozīcijām.</w:t>
            </w:r>
          </w:p>
        </w:tc>
        <w:tc>
          <w:tcPr>
            <w:tcW w:w="5859" w:type="dxa"/>
          </w:tcPr>
          <w:p w14:paraId="225A4A5C" w14:textId="77777777" w:rsidR="00650D7F" w:rsidRPr="009E69BB" w:rsidRDefault="00650D7F" w:rsidP="00650D7F">
            <w:pPr>
              <w:rPr>
                <w:b/>
                <w:bCs/>
                <w:color w:val="000000" w:themeColor="text1"/>
              </w:rPr>
            </w:pPr>
            <w:r w:rsidRPr="009E69BB">
              <w:rPr>
                <w:b/>
                <w:bCs/>
                <w:color w:val="000000" w:themeColor="text1"/>
              </w:rPr>
              <w:lastRenderedPageBreak/>
              <w:t>Skaidrojums atbilstības noteikšanai</w:t>
            </w:r>
          </w:p>
          <w:p w14:paraId="08542388" w14:textId="3E316409" w:rsidR="00954A37" w:rsidRPr="009E69BB" w:rsidRDefault="00FA38D3" w:rsidP="006F60E8">
            <w:pPr>
              <w:rPr>
                <w:b/>
                <w:bCs/>
                <w:color w:val="000000" w:themeColor="text1"/>
              </w:rPr>
            </w:pPr>
            <w:r w:rsidRPr="00FA38D3">
              <w:rPr>
                <w:rFonts w:eastAsia="Times New Roman" w:cs="Times New Roman"/>
                <w:kern w:val="0"/>
                <w:szCs w:val="24"/>
                <w:lang w:eastAsia="lv-LV"/>
              </w:rPr>
              <w:t xml:space="preserve">Projekta iesniegumā ietvertās plānotās darbības atbilst MK noteikumos par SAMP īstenošanu norādītajām atbalstāmajām </w:t>
            </w:r>
            <w:r w:rsidRPr="00FA38D3">
              <w:rPr>
                <w:rFonts w:eastAsia="Times New Roman" w:cs="Times New Roman"/>
                <w:kern w:val="0"/>
                <w:szCs w:val="24"/>
                <w:lang w:eastAsia="lv-LV"/>
              </w:rPr>
              <w:lastRenderedPageBreak/>
              <w:t>darbībām un izmaksu pozīcijām.</w:t>
            </w:r>
          </w:p>
        </w:tc>
        <w:tc>
          <w:tcPr>
            <w:tcW w:w="3543" w:type="dxa"/>
          </w:tcPr>
          <w:p w14:paraId="1EE3C3CB" w14:textId="3978DB4C" w:rsidR="00954A37" w:rsidRDefault="00FA38D3" w:rsidP="00177D5B">
            <w:pPr>
              <w:pStyle w:val="Standard"/>
              <w:jc w:val="both"/>
              <w:rPr>
                <w:sz w:val="22"/>
              </w:rPr>
            </w:pPr>
            <w:r>
              <w:rPr>
                <w:sz w:val="22"/>
              </w:rPr>
              <w:lastRenderedPageBreak/>
              <w:t xml:space="preserve">Lūdzam precizēt atbilstoši 2024. gada 11. aprīlī Eiropas Savienības fondu 2021.–2027. </w:t>
            </w:r>
            <w:r>
              <w:rPr>
                <w:sz w:val="22"/>
              </w:rPr>
              <w:lastRenderedPageBreak/>
              <w:t xml:space="preserve">gada plānošanas perioda Uzraudzības komitejā apstiprinātajiem </w:t>
            </w:r>
            <w:r w:rsidRPr="00B96861">
              <w:rPr>
                <w:sz w:val="22"/>
              </w:rPr>
              <w:t>Eiropas Reģionālās attīstības fonda, Eiropas Sociālā fonda plus, Kohēzijas fonda un Taisnīgas pārkārtošanās fonda projektu iesniegumu atlases metodikas 2021.–2027.</w:t>
            </w:r>
            <w:r w:rsidR="00107F7F">
              <w:rPr>
                <w:sz w:val="22"/>
              </w:rPr>
              <w:t xml:space="preserve"> </w:t>
            </w:r>
            <w:r w:rsidRPr="00B96861">
              <w:rPr>
                <w:sz w:val="22"/>
              </w:rPr>
              <w:t>gadam</w:t>
            </w:r>
            <w:r>
              <w:rPr>
                <w:sz w:val="22"/>
              </w:rPr>
              <w:t xml:space="preserve"> grozījumiem.</w:t>
            </w:r>
          </w:p>
        </w:tc>
      </w:tr>
      <w:tr w:rsidR="00CE0989" w:rsidRPr="00F95150" w14:paraId="52F0B42D" w14:textId="77777777" w:rsidTr="00CE0989">
        <w:tc>
          <w:tcPr>
            <w:tcW w:w="508" w:type="dxa"/>
          </w:tcPr>
          <w:p w14:paraId="2CEB14B7" w14:textId="77777777" w:rsidR="00A30B60" w:rsidRPr="004C2517" w:rsidRDefault="00A30B60" w:rsidP="00A57181">
            <w:pPr>
              <w:pStyle w:val="Standard"/>
              <w:numPr>
                <w:ilvl w:val="0"/>
                <w:numId w:val="13"/>
              </w:numPr>
              <w:ind w:hanging="1049"/>
              <w:jc w:val="center"/>
              <w:rPr>
                <w:sz w:val="22"/>
              </w:rPr>
            </w:pPr>
          </w:p>
        </w:tc>
        <w:tc>
          <w:tcPr>
            <w:tcW w:w="1049" w:type="dxa"/>
          </w:tcPr>
          <w:p w14:paraId="518678B7" w14:textId="66985AEC" w:rsidR="00A30B60" w:rsidRPr="004C2517" w:rsidRDefault="00D04AE7" w:rsidP="00177D5B">
            <w:pPr>
              <w:pStyle w:val="Standard"/>
              <w:jc w:val="both"/>
              <w:rPr>
                <w:b/>
                <w:bCs/>
                <w:sz w:val="22"/>
              </w:rPr>
            </w:pPr>
            <w:r>
              <w:rPr>
                <w:b/>
                <w:bCs/>
                <w:sz w:val="22"/>
              </w:rPr>
              <w:t xml:space="preserve">Nr. </w:t>
            </w:r>
            <w:r w:rsidR="0053479C">
              <w:rPr>
                <w:b/>
                <w:bCs/>
                <w:sz w:val="22"/>
              </w:rPr>
              <w:t>2.6.3.</w:t>
            </w:r>
          </w:p>
        </w:tc>
        <w:tc>
          <w:tcPr>
            <w:tcW w:w="4634" w:type="dxa"/>
          </w:tcPr>
          <w:p w14:paraId="52758F0C" w14:textId="40DA79DF" w:rsidR="009E69BB" w:rsidRPr="009E69BB" w:rsidRDefault="009E69BB" w:rsidP="006376E7">
            <w:pPr>
              <w:rPr>
                <w:b/>
                <w:bCs/>
                <w:color w:val="000000" w:themeColor="text1"/>
              </w:rPr>
            </w:pPr>
            <w:r w:rsidRPr="009E69BB">
              <w:rPr>
                <w:b/>
                <w:bCs/>
                <w:color w:val="000000" w:themeColor="text1"/>
              </w:rPr>
              <w:t>Skaidrojums atbilstības noteikšanai</w:t>
            </w:r>
          </w:p>
          <w:p w14:paraId="2ED1D2DB" w14:textId="7742A309" w:rsidR="00A30B60" w:rsidRPr="006376E7" w:rsidRDefault="006376E7" w:rsidP="006376E7">
            <w:pPr>
              <w:rPr>
                <w:color w:val="000000" w:themeColor="text1"/>
              </w:rPr>
            </w:pPr>
            <w:r w:rsidRPr="006376E7">
              <w:rPr>
                <w:color w:val="000000" w:themeColor="text1"/>
              </w:rPr>
              <w:t>Vērtējums ir “Jā”, ja projektam pievienots aprēķins, nosakot siltumnīcefekta gāzu ietaupījuma apjomu pret situāciju, ja projekts netiktu īstenots un projektā plānotais notekūdeņu dūņu apjoms, rēķinot viena gada izteiksmē, tiktu apstrādāts ar esošo apstrādes metodi. Aprēķiniem izmantota pārbaudāma, publiski pieejama metodoloģija, pārbaudāmi un uzticami datu avoti.</w:t>
            </w:r>
          </w:p>
        </w:tc>
        <w:tc>
          <w:tcPr>
            <w:tcW w:w="5859" w:type="dxa"/>
          </w:tcPr>
          <w:p w14:paraId="25AD2FD2" w14:textId="4F920AD9" w:rsidR="009E69BB" w:rsidRPr="009E69BB" w:rsidRDefault="009E69BB" w:rsidP="006376E7">
            <w:pPr>
              <w:rPr>
                <w:b/>
                <w:bCs/>
                <w:color w:val="000000" w:themeColor="text1"/>
              </w:rPr>
            </w:pPr>
            <w:r w:rsidRPr="009E69BB">
              <w:rPr>
                <w:b/>
                <w:bCs/>
                <w:color w:val="000000" w:themeColor="text1"/>
              </w:rPr>
              <w:t>Skaidrojums atbilstības noteikšanai</w:t>
            </w:r>
          </w:p>
          <w:p w14:paraId="4292F53F" w14:textId="0024FA91" w:rsidR="00A30B60" w:rsidRPr="006376E7" w:rsidRDefault="006376E7" w:rsidP="006376E7">
            <w:pPr>
              <w:rPr>
                <w:color w:val="000000" w:themeColor="text1"/>
              </w:rPr>
            </w:pPr>
            <w:r w:rsidRPr="006376E7">
              <w:rPr>
                <w:color w:val="000000" w:themeColor="text1"/>
              </w:rPr>
              <w:t>Vērtējums ir “Jā”, ja projektam pievienots aprēķins, nosakot siltumnīcefekta gāzu emisiju ietaupījuma apjomu pret situāciju, ja projekts netiktu īstenots un projektā plānotais notekūdeņu dūņu apjoms, rēķinot viena gada izteiksmē, tiktu apstrādāts ar esošo apstrādes metodi. Aprēķiniem izmantota pārbaudāma, publiski pieejama metodoloģija, pārbaudāmi un uzticami datu avoti.</w:t>
            </w:r>
          </w:p>
        </w:tc>
        <w:tc>
          <w:tcPr>
            <w:tcW w:w="3543" w:type="dxa"/>
          </w:tcPr>
          <w:p w14:paraId="1AD75BFD" w14:textId="266B3E7C" w:rsidR="00A30B60" w:rsidRPr="006376E7" w:rsidRDefault="006376E7" w:rsidP="00177D5B">
            <w:pPr>
              <w:pStyle w:val="Standard"/>
              <w:jc w:val="both"/>
              <w:rPr>
                <w:szCs w:val="24"/>
              </w:rPr>
            </w:pPr>
            <w:r w:rsidRPr="00BD36CD">
              <w:rPr>
                <w:rFonts w:cs="Times New Roman"/>
                <w:sz w:val="22"/>
              </w:rPr>
              <w:t>Lūdzam tehniski papildināt ar vārdu “emisiju”.</w:t>
            </w:r>
          </w:p>
        </w:tc>
      </w:tr>
      <w:tr w:rsidR="0052678B" w:rsidRPr="00F95150" w14:paraId="76279B1D" w14:textId="77777777" w:rsidTr="00CE0989">
        <w:tc>
          <w:tcPr>
            <w:tcW w:w="508" w:type="dxa"/>
          </w:tcPr>
          <w:p w14:paraId="738FA9CC" w14:textId="77777777" w:rsidR="0052678B" w:rsidRPr="004C2517" w:rsidRDefault="0052678B" w:rsidP="00A57181">
            <w:pPr>
              <w:pStyle w:val="Standard"/>
              <w:numPr>
                <w:ilvl w:val="0"/>
                <w:numId w:val="13"/>
              </w:numPr>
              <w:ind w:hanging="1049"/>
              <w:jc w:val="center"/>
              <w:rPr>
                <w:sz w:val="22"/>
              </w:rPr>
            </w:pPr>
          </w:p>
        </w:tc>
        <w:tc>
          <w:tcPr>
            <w:tcW w:w="1049" w:type="dxa"/>
          </w:tcPr>
          <w:p w14:paraId="6971FC8E" w14:textId="65ACFF5B" w:rsidR="0052678B" w:rsidRDefault="006714F4" w:rsidP="00177D5B">
            <w:pPr>
              <w:pStyle w:val="Standard"/>
              <w:jc w:val="both"/>
              <w:rPr>
                <w:b/>
                <w:bCs/>
                <w:sz w:val="22"/>
              </w:rPr>
            </w:pPr>
            <w:r>
              <w:rPr>
                <w:b/>
                <w:bCs/>
                <w:sz w:val="22"/>
              </w:rPr>
              <w:t>Vienotie, specifiskie atbilstības</w:t>
            </w:r>
          </w:p>
        </w:tc>
        <w:tc>
          <w:tcPr>
            <w:tcW w:w="4634" w:type="dxa"/>
          </w:tcPr>
          <w:p w14:paraId="1F7CB538" w14:textId="77777777" w:rsidR="00B80488" w:rsidRPr="00244150" w:rsidRDefault="00B80488" w:rsidP="00B80488">
            <w:pPr>
              <w:rPr>
                <w:b/>
                <w:bCs/>
                <w:color w:val="000000" w:themeColor="text1"/>
              </w:rPr>
            </w:pPr>
            <w:r w:rsidRPr="00244150">
              <w:rPr>
                <w:b/>
                <w:bCs/>
                <w:color w:val="000000" w:themeColor="text1"/>
              </w:rPr>
              <w:t>Skaidrojums atbilstības noteikšanai</w:t>
            </w:r>
          </w:p>
          <w:p w14:paraId="54F2C0C1" w14:textId="0C5AF89D" w:rsidR="0052678B" w:rsidRPr="009E69BB" w:rsidRDefault="0031692E" w:rsidP="006376E7">
            <w:pPr>
              <w:rPr>
                <w:b/>
                <w:bCs/>
                <w:color w:val="000000" w:themeColor="text1"/>
              </w:rPr>
            </w:pPr>
            <w:r w:rsidRPr="0031692E">
              <w:rPr>
                <w:rFonts w:eastAsia="Times New Roman" w:cs="Times New Roman"/>
                <w:color w:val="000000"/>
                <w:kern w:val="0"/>
                <w:szCs w:val="24"/>
                <w:lang w:eastAsia="lv-LV"/>
              </w:rPr>
              <w:t>Ja projekta iesniegumā norādītā informācija neatbilst prasībām, projekta iesniegumu novērtē ar “</w:t>
            </w:r>
            <w:r w:rsidRPr="0031692E">
              <w:rPr>
                <w:rFonts w:eastAsia="Times New Roman" w:cs="Times New Roman"/>
                <w:b/>
                <w:bCs/>
                <w:color w:val="000000"/>
                <w:kern w:val="0"/>
                <w:szCs w:val="24"/>
                <w:lang w:eastAsia="lv-LV"/>
              </w:rPr>
              <w:t>Jā, ar nosacījumu</w:t>
            </w:r>
            <w:r w:rsidRPr="0031692E">
              <w:rPr>
                <w:rFonts w:eastAsia="Times New Roman" w:cs="Times New Roman"/>
                <w:color w:val="000000"/>
                <w:kern w:val="0"/>
                <w:szCs w:val="24"/>
                <w:lang w:eastAsia="lv-LV"/>
              </w:rPr>
              <w:t>” un izvirza nosacījumu papildināt vai precizēt norādīto informāciju.</w:t>
            </w:r>
          </w:p>
        </w:tc>
        <w:tc>
          <w:tcPr>
            <w:tcW w:w="5859" w:type="dxa"/>
          </w:tcPr>
          <w:p w14:paraId="47803629" w14:textId="77777777" w:rsidR="0031692E" w:rsidRPr="00750099" w:rsidRDefault="0031692E" w:rsidP="0031692E">
            <w:pPr>
              <w:rPr>
                <w:b/>
                <w:bCs/>
                <w:color w:val="000000" w:themeColor="text1"/>
              </w:rPr>
            </w:pPr>
            <w:r w:rsidRPr="00750099">
              <w:rPr>
                <w:b/>
                <w:bCs/>
                <w:color w:val="000000" w:themeColor="text1"/>
              </w:rPr>
              <w:t>Skaidrojums atbilstības noteikšanai</w:t>
            </w:r>
          </w:p>
          <w:p w14:paraId="7FD99EE6" w14:textId="19678766" w:rsidR="0052678B" w:rsidRPr="009E69BB" w:rsidRDefault="006714F4" w:rsidP="006376E7">
            <w:pPr>
              <w:rPr>
                <w:b/>
                <w:bCs/>
                <w:color w:val="000000" w:themeColor="text1"/>
              </w:rPr>
            </w:pPr>
            <w:r w:rsidRPr="006714F4">
              <w:rPr>
                <w:rFonts w:eastAsia="Times New Roman" w:cs="Times New Roman"/>
                <w:bCs/>
                <w:kern w:val="0"/>
                <w:szCs w:val="24"/>
                <w:lang w:eastAsia="lv-LV"/>
              </w:rPr>
              <w:t xml:space="preserve">Ja projekta iesniegums neatbilst minētajām prasībām, vērtējums ir </w:t>
            </w:r>
            <w:r w:rsidRPr="006714F4">
              <w:rPr>
                <w:rFonts w:eastAsia="Times New Roman" w:cs="Times New Roman"/>
                <w:b/>
                <w:bCs/>
                <w:kern w:val="0"/>
                <w:szCs w:val="24"/>
                <w:lang w:eastAsia="lv-LV"/>
              </w:rPr>
              <w:t>“Jā, ar nosacījumu”</w:t>
            </w:r>
            <w:r w:rsidRPr="006714F4">
              <w:rPr>
                <w:rFonts w:eastAsia="Times New Roman" w:cs="Times New Roman"/>
                <w:bCs/>
                <w:kern w:val="0"/>
                <w:szCs w:val="24"/>
                <w:lang w:eastAsia="lv-LV"/>
              </w:rPr>
              <w:t xml:space="preserve"> un izvirza atbilstošus nosacījumus.</w:t>
            </w:r>
          </w:p>
        </w:tc>
        <w:tc>
          <w:tcPr>
            <w:tcW w:w="3543" w:type="dxa"/>
          </w:tcPr>
          <w:p w14:paraId="5AB1E83F" w14:textId="6C81D177" w:rsidR="0052678B" w:rsidRPr="00BD36CD" w:rsidRDefault="006714F4" w:rsidP="00177D5B">
            <w:pPr>
              <w:pStyle w:val="Standard"/>
              <w:jc w:val="both"/>
              <w:rPr>
                <w:sz w:val="22"/>
              </w:rPr>
            </w:pPr>
            <w:r w:rsidRPr="006714F4">
              <w:rPr>
                <w:sz w:val="22"/>
              </w:rPr>
              <w:t>Lūdzam precizēt</w:t>
            </w:r>
            <w:r>
              <w:rPr>
                <w:sz w:val="22"/>
              </w:rPr>
              <w:t xml:space="preserve"> vērtējuma “Jā, ar nosacījumu” </w:t>
            </w:r>
            <w:r w:rsidR="00531F09">
              <w:rPr>
                <w:sz w:val="22"/>
              </w:rPr>
              <w:t>skaidrojumu visos vienotajos un specifiskajos atbilstības kritērijos</w:t>
            </w:r>
            <w:r w:rsidRPr="006714F4">
              <w:rPr>
                <w:sz w:val="22"/>
              </w:rPr>
              <w:t xml:space="preserve"> atbilstoši 2024. gada 11. aprīlī Eiropas Savienības fondu 2021.–2027. gada plānošanas perioda Uzraudzības komitejā apstiprinātajiem Eiropas Reģionālās attīstības fonda, Eiropas Sociālā fonda plus, Kohēzijas fonda un Taisnīgas pārkārtošanās fonda projektu iesniegumu atlases metodikas 2021.–2027.</w:t>
            </w:r>
            <w:r w:rsidR="00107F7F">
              <w:rPr>
                <w:sz w:val="22"/>
              </w:rPr>
              <w:t xml:space="preserve"> </w:t>
            </w:r>
            <w:r w:rsidRPr="006714F4">
              <w:rPr>
                <w:sz w:val="22"/>
              </w:rPr>
              <w:t>gadam grozījumiem.</w:t>
            </w:r>
          </w:p>
        </w:tc>
      </w:tr>
      <w:tr w:rsidR="006376E7" w:rsidRPr="00F95150" w14:paraId="230FA7C8" w14:textId="77777777" w:rsidTr="00CE0989">
        <w:tc>
          <w:tcPr>
            <w:tcW w:w="508" w:type="dxa"/>
          </w:tcPr>
          <w:p w14:paraId="7D511DB5" w14:textId="77777777" w:rsidR="006376E7" w:rsidRPr="004C2517" w:rsidRDefault="006376E7" w:rsidP="00A57181">
            <w:pPr>
              <w:pStyle w:val="Standard"/>
              <w:numPr>
                <w:ilvl w:val="0"/>
                <w:numId w:val="13"/>
              </w:numPr>
              <w:ind w:hanging="1049"/>
              <w:jc w:val="center"/>
              <w:rPr>
                <w:sz w:val="22"/>
              </w:rPr>
            </w:pPr>
          </w:p>
        </w:tc>
        <w:tc>
          <w:tcPr>
            <w:tcW w:w="1049" w:type="dxa"/>
          </w:tcPr>
          <w:p w14:paraId="2BEDA476" w14:textId="4247129C" w:rsidR="006376E7" w:rsidRDefault="009E69BB" w:rsidP="00177D5B">
            <w:pPr>
              <w:pStyle w:val="Standard"/>
              <w:jc w:val="both"/>
              <w:rPr>
                <w:b/>
                <w:bCs/>
                <w:sz w:val="22"/>
              </w:rPr>
            </w:pPr>
            <w:r>
              <w:rPr>
                <w:b/>
                <w:bCs/>
                <w:sz w:val="22"/>
              </w:rPr>
              <w:t>Nr. 3.1.</w:t>
            </w:r>
          </w:p>
        </w:tc>
        <w:tc>
          <w:tcPr>
            <w:tcW w:w="4634" w:type="dxa"/>
          </w:tcPr>
          <w:p w14:paraId="30B70BD6" w14:textId="77777777" w:rsidR="009E69BB" w:rsidRPr="00244150" w:rsidRDefault="009E69BB" w:rsidP="009E69BB">
            <w:pPr>
              <w:rPr>
                <w:b/>
                <w:bCs/>
                <w:color w:val="000000" w:themeColor="text1"/>
              </w:rPr>
            </w:pPr>
            <w:r w:rsidRPr="00244150">
              <w:rPr>
                <w:b/>
                <w:bCs/>
                <w:color w:val="000000" w:themeColor="text1"/>
              </w:rPr>
              <w:t>Skaidrojums atbilstības noteikšanai</w:t>
            </w:r>
          </w:p>
          <w:p w14:paraId="13ABE670" w14:textId="77777777" w:rsidR="00716D40" w:rsidRPr="00716D40" w:rsidRDefault="00716D40" w:rsidP="00716D40">
            <w:pPr>
              <w:widowControl/>
              <w:suppressAutoHyphens w:val="0"/>
              <w:autoSpaceDN/>
              <w:jc w:val="both"/>
              <w:textAlignment w:val="auto"/>
              <w:rPr>
                <w:rFonts w:eastAsia="Times New Roman" w:cs="Times New Roman"/>
                <w:color w:val="000000"/>
                <w:kern w:val="0"/>
                <w:szCs w:val="24"/>
                <w:lang w:eastAsia="lv-LV"/>
              </w:rPr>
            </w:pPr>
            <w:r w:rsidRPr="00716D40">
              <w:rPr>
                <w:rFonts w:eastAsia="Times New Roman" w:cs="Times New Roman"/>
                <w:color w:val="000000"/>
                <w:kern w:val="0"/>
                <w:szCs w:val="24"/>
                <w:lang w:eastAsia="lv-LV"/>
              </w:rPr>
              <w:t>Kritērija vērtēšanai izmanto projekta iesniegumā sniegto aprēķinu par to N un P piesārņojuma samazinājumu %, kas notekūdeņu attīrīšanas iekārtās nodrošināts pirms projekta īstenošanas un plānoto samazinājumu % pēc projekta īstenošanas (samazinājumu (%) pēc projekta īstenošanas nosaka, balstoties uz projekta iesniedzēja aprēķinātajiem datiem par plānoto projekta darbību ietekmi uz N un P piesārņojuma samazināšanu). Samazinājumu (%) pirms projekta īstenošanas nosaka, salīdzinot iekārtās ieplūstošo un vidē novadīto piesārņojuma daudzumu, kas aprēķināts pēc Valsts statistiskā pārskata 2-Ūdens veidlapā (izmanto jaunāko pieejamo informāciju) norādītajām kopējā slāpekļa (N</w:t>
            </w:r>
            <w:r w:rsidRPr="00716D40">
              <w:rPr>
                <w:rFonts w:eastAsia="Times New Roman" w:cs="Times New Roman"/>
                <w:color w:val="000000"/>
                <w:kern w:val="0"/>
                <w:szCs w:val="24"/>
                <w:vertAlign w:val="subscript"/>
                <w:lang w:eastAsia="lv-LV"/>
              </w:rPr>
              <w:t>kop</w:t>
            </w:r>
            <w:r w:rsidRPr="00716D40">
              <w:rPr>
                <w:rFonts w:eastAsia="Times New Roman" w:cs="Times New Roman"/>
                <w:color w:val="000000"/>
                <w:kern w:val="0"/>
                <w:szCs w:val="24"/>
                <w:lang w:eastAsia="lv-LV"/>
              </w:rPr>
              <w:t>) un kopējā fosfora (P</w:t>
            </w:r>
            <w:r w:rsidRPr="00716D40">
              <w:rPr>
                <w:rFonts w:eastAsia="Times New Roman" w:cs="Times New Roman"/>
                <w:color w:val="000000"/>
                <w:kern w:val="0"/>
                <w:szCs w:val="24"/>
                <w:vertAlign w:val="subscript"/>
                <w:lang w:eastAsia="lv-LV"/>
              </w:rPr>
              <w:t>kop</w:t>
            </w:r>
            <w:r w:rsidRPr="00716D40">
              <w:rPr>
                <w:rFonts w:eastAsia="Times New Roman" w:cs="Times New Roman"/>
                <w:color w:val="000000"/>
                <w:kern w:val="0"/>
                <w:szCs w:val="24"/>
                <w:lang w:eastAsia="lv-LV"/>
              </w:rPr>
              <w:t>) vērtībām. Aprēķinu veic, izmantojot veidlapas H tabulas “Testēšanas metožu un laboratoriju raksturojums” 8. kolonnā “Testēšanas rezultāti pirms attīrīšanas” un 9. kolonnā “Testēšanas rezultāti pēc attīrīšanas” norādītos datus pa mēnešiem, ko saskaita un dala ar 12, lai iegūtu gada vidējo vērtību</w:t>
            </w:r>
            <w:r w:rsidRPr="00716D40">
              <w:rPr>
                <w:rFonts w:eastAsia="Times New Roman" w:cs="Times New Roman"/>
                <w:color w:val="000000"/>
                <w:kern w:val="0"/>
                <w:szCs w:val="24"/>
                <w:vertAlign w:val="superscript"/>
                <w:lang w:eastAsia="lv-LV"/>
              </w:rPr>
              <w:footnoteReference w:id="3"/>
            </w:r>
            <w:r w:rsidRPr="00716D40">
              <w:rPr>
                <w:rFonts w:eastAsia="Times New Roman" w:cs="Times New Roman"/>
                <w:color w:val="000000"/>
                <w:kern w:val="0"/>
                <w:szCs w:val="24"/>
                <w:lang w:eastAsia="lv-LV"/>
              </w:rPr>
              <w:t>. Pēc tam gada vidējās vērtības pirms (k</w:t>
            </w:r>
            <w:r w:rsidRPr="00716D40">
              <w:rPr>
                <w:rFonts w:eastAsia="Times New Roman" w:cs="Times New Roman"/>
                <w:color w:val="000000"/>
                <w:kern w:val="0"/>
                <w:szCs w:val="24"/>
                <w:vertAlign w:val="subscript"/>
                <w:lang w:eastAsia="lv-LV"/>
              </w:rPr>
              <w:t>1</w:t>
            </w:r>
            <w:r w:rsidRPr="00716D40">
              <w:rPr>
                <w:rFonts w:eastAsia="Times New Roman" w:cs="Times New Roman"/>
                <w:color w:val="000000"/>
                <w:kern w:val="0"/>
                <w:szCs w:val="24"/>
                <w:lang w:eastAsia="lv-LV"/>
              </w:rPr>
              <w:t>) un pēc (k</w:t>
            </w:r>
            <w:r w:rsidRPr="00716D40">
              <w:rPr>
                <w:rFonts w:eastAsia="Times New Roman" w:cs="Times New Roman"/>
                <w:color w:val="000000"/>
                <w:kern w:val="0"/>
                <w:szCs w:val="24"/>
                <w:vertAlign w:val="subscript"/>
                <w:lang w:eastAsia="lv-LV"/>
              </w:rPr>
              <w:t>2</w:t>
            </w:r>
            <w:r w:rsidRPr="00716D40">
              <w:rPr>
                <w:rFonts w:eastAsia="Times New Roman" w:cs="Times New Roman"/>
                <w:color w:val="000000"/>
                <w:kern w:val="0"/>
                <w:szCs w:val="24"/>
                <w:lang w:eastAsia="lv-LV"/>
              </w:rPr>
              <w:t>) attīrīšanas kopējam slāpeklim un kopējam fosforam ievieto % samazinājuma aprēķina formulā:</w:t>
            </w:r>
          </w:p>
          <w:p w14:paraId="44B41C4C" w14:textId="77777777" w:rsidR="00716D40" w:rsidRPr="00716D40" w:rsidRDefault="00716D40" w:rsidP="00716D40">
            <w:pPr>
              <w:widowControl/>
              <w:suppressAutoHyphens w:val="0"/>
              <w:autoSpaceDN/>
              <w:jc w:val="both"/>
              <w:textAlignment w:val="auto"/>
              <w:rPr>
                <w:rFonts w:eastAsia="Times New Roman" w:cs="Times New Roman"/>
                <w:color w:val="000000"/>
                <w:kern w:val="0"/>
                <w:szCs w:val="24"/>
                <w:lang w:eastAsia="lv-LV"/>
              </w:rPr>
            </w:pPr>
            <m:oMathPara>
              <m:oMath>
                <m:r>
                  <w:rPr>
                    <w:rFonts w:ascii="Cambria Math" w:eastAsia="Times New Roman" w:hAnsi="Cambria Math" w:cs="Times New Roman"/>
                    <w:color w:val="000000"/>
                    <w:kern w:val="0"/>
                    <w:szCs w:val="24"/>
                    <w:lang w:eastAsia="lv-LV"/>
                  </w:rPr>
                  <w:lastRenderedPageBreak/>
                  <m:t>100-</m:t>
                </m:r>
                <m:f>
                  <m:fPr>
                    <m:ctrlPr>
                      <w:rPr>
                        <w:rFonts w:ascii="Cambria Math" w:eastAsia="Times New Roman" w:hAnsi="Cambria Math" w:cs="Times New Roman"/>
                        <w:i/>
                        <w:color w:val="000000"/>
                        <w:kern w:val="0"/>
                        <w:szCs w:val="24"/>
                        <w:lang w:eastAsia="lv-LV"/>
                      </w:rPr>
                    </m:ctrlPr>
                  </m:fPr>
                  <m:num>
                    <m:sSub>
                      <m:sSubPr>
                        <m:ctrlPr>
                          <w:rPr>
                            <w:rFonts w:ascii="Cambria Math" w:eastAsia="Times New Roman" w:hAnsi="Cambria Math" w:cs="Times New Roman"/>
                            <w:i/>
                            <w:color w:val="000000"/>
                            <w:kern w:val="0"/>
                            <w:szCs w:val="24"/>
                            <w:lang w:eastAsia="lv-LV"/>
                          </w:rPr>
                        </m:ctrlPr>
                      </m:sSubPr>
                      <m:e>
                        <m:r>
                          <w:rPr>
                            <w:rFonts w:ascii="Cambria Math" w:eastAsia="Times New Roman" w:hAnsi="Cambria Math" w:cs="Times New Roman"/>
                            <w:color w:val="000000"/>
                            <w:kern w:val="0"/>
                            <w:szCs w:val="24"/>
                            <w:lang w:eastAsia="lv-LV"/>
                          </w:rPr>
                          <m:t>k</m:t>
                        </m:r>
                      </m:e>
                      <m:sub>
                        <m:r>
                          <w:rPr>
                            <w:rFonts w:ascii="Cambria Math" w:eastAsia="Times New Roman" w:hAnsi="Cambria Math" w:cs="Times New Roman"/>
                            <w:color w:val="000000"/>
                            <w:kern w:val="0"/>
                            <w:szCs w:val="24"/>
                            <w:lang w:eastAsia="lv-LV"/>
                          </w:rPr>
                          <m:t>2</m:t>
                        </m:r>
                      </m:sub>
                    </m:sSub>
                    <m:r>
                      <w:rPr>
                        <w:rFonts w:ascii="Cambria Math" w:eastAsia="Times New Roman" w:hAnsi="Cambria Math" w:cs="Times New Roman"/>
                        <w:color w:val="000000"/>
                        <w:kern w:val="0"/>
                        <w:szCs w:val="24"/>
                        <w:lang w:eastAsia="lv-LV"/>
                      </w:rPr>
                      <m:t xml:space="preserve"> (</m:t>
                    </m:r>
                    <m:f>
                      <m:fPr>
                        <m:ctrlPr>
                          <w:rPr>
                            <w:rFonts w:ascii="Cambria Math" w:eastAsia="Times New Roman" w:hAnsi="Cambria Math" w:cs="Times New Roman"/>
                            <w:i/>
                            <w:color w:val="000000"/>
                            <w:kern w:val="0"/>
                            <w:szCs w:val="24"/>
                            <w:lang w:eastAsia="lv-LV"/>
                          </w:rPr>
                        </m:ctrlPr>
                      </m:fPr>
                      <m:num>
                        <m:r>
                          <w:rPr>
                            <w:rFonts w:ascii="Cambria Math" w:eastAsia="Times New Roman" w:hAnsi="Cambria Math" w:cs="Times New Roman"/>
                            <w:color w:val="000000"/>
                            <w:kern w:val="0"/>
                            <w:szCs w:val="24"/>
                            <w:lang w:eastAsia="lv-LV"/>
                          </w:rPr>
                          <m:t>mg</m:t>
                        </m:r>
                      </m:num>
                      <m:den>
                        <m:r>
                          <w:rPr>
                            <w:rFonts w:ascii="Cambria Math" w:eastAsia="Times New Roman" w:hAnsi="Cambria Math" w:cs="Times New Roman"/>
                            <w:color w:val="000000"/>
                            <w:kern w:val="0"/>
                            <w:szCs w:val="24"/>
                            <w:lang w:eastAsia="lv-LV"/>
                          </w:rPr>
                          <m:t>l</m:t>
                        </m:r>
                      </m:den>
                    </m:f>
                    <m:r>
                      <w:rPr>
                        <w:rFonts w:ascii="Cambria Math" w:eastAsia="Times New Roman" w:hAnsi="Cambria Math" w:cs="Times New Roman"/>
                        <w:color w:val="000000"/>
                        <w:kern w:val="0"/>
                        <w:szCs w:val="24"/>
                        <w:lang w:eastAsia="lv-LV"/>
                      </w:rPr>
                      <m:t>)</m:t>
                    </m:r>
                  </m:num>
                  <m:den>
                    <m:sSub>
                      <m:sSubPr>
                        <m:ctrlPr>
                          <w:rPr>
                            <w:rFonts w:ascii="Cambria Math" w:eastAsia="Times New Roman" w:hAnsi="Cambria Math" w:cs="Times New Roman"/>
                            <w:i/>
                            <w:color w:val="000000"/>
                            <w:kern w:val="0"/>
                            <w:szCs w:val="24"/>
                            <w:lang w:eastAsia="lv-LV"/>
                          </w:rPr>
                        </m:ctrlPr>
                      </m:sSubPr>
                      <m:e>
                        <m:r>
                          <w:rPr>
                            <w:rFonts w:ascii="Cambria Math" w:eastAsia="Times New Roman" w:hAnsi="Cambria Math" w:cs="Times New Roman"/>
                            <w:color w:val="000000"/>
                            <w:kern w:val="0"/>
                            <w:szCs w:val="24"/>
                            <w:lang w:eastAsia="lv-LV"/>
                          </w:rPr>
                          <m:t>k</m:t>
                        </m:r>
                      </m:e>
                      <m:sub>
                        <m:r>
                          <w:rPr>
                            <w:rFonts w:ascii="Cambria Math" w:eastAsia="Times New Roman" w:hAnsi="Cambria Math" w:cs="Times New Roman"/>
                            <w:color w:val="000000"/>
                            <w:kern w:val="0"/>
                            <w:szCs w:val="24"/>
                            <w:lang w:eastAsia="lv-LV"/>
                          </w:rPr>
                          <m:t>1</m:t>
                        </m:r>
                      </m:sub>
                    </m:sSub>
                    <m:r>
                      <w:rPr>
                        <w:rFonts w:ascii="Cambria Math" w:eastAsia="Times New Roman" w:hAnsi="Cambria Math" w:cs="Times New Roman"/>
                        <w:color w:val="000000"/>
                        <w:kern w:val="0"/>
                        <w:szCs w:val="24"/>
                        <w:lang w:eastAsia="lv-LV"/>
                      </w:rPr>
                      <m:t xml:space="preserve"> (</m:t>
                    </m:r>
                    <m:f>
                      <m:fPr>
                        <m:ctrlPr>
                          <w:rPr>
                            <w:rFonts w:ascii="Cambria Math" w:eastAsia="Times New Roman" w:hAnsi="Cambria Math" w:cs="Times New Roman"/>
                            <w:i/>
                            <w:color w:val="000000"/>
                            <w:kern w:val="0"/>
                            <w:szCs w:val="24"/>
                            <w:lang w:eastAsia="lv-LV"/>
                          </w:rPr>
                        </m:ctrlPr>
                      </m:fPr>
                      <m:num>
                        <m:r>
                          <w:rPr>
                            <w:rFonts w:ascii="Cambria Math" w:eastAsia="Times New Roman" w:hAnsi="Cambria Math" w:cs="Times New Roman"/>
                            <w:color w:val="000000"/>
                            <w:kern w:val="0"/>
                            <w:szCs w:val="24"/>
                            <w:lang w:eastAsia="lv-LV"/>
                          </w:rPr>
                          <m:t>mg</m:t>
                        </m:r>
                      </m:num>
                      <m:den>
                        <m:r>
                          <w:rPr>
                            <w:rFonts w:ascii="Cambria Math" w:eastAsia="Times New Roman" w:hAnsi="Cambria Math" w:cs="Times New Roman"/>
                            <w:color w:val="000000"/>
                            <w:kern w:val="0"/>
                            <w:szCs w:val="24"/>
                            <w:lang w:eastAsia="lv-LV"/>
                          </w:rPr>
                          <m:t>l</m:t>
                        </m:r>
                      </m:den>
                    </m:f>
                    <m:r>
                      <w:rPr>
                        <w:rFonts w:ascii="Cambria Math" w:eastAsia="Times New Roman" w:hAnsi="Cambria Math" w:cs="Times New Roman"/>
                        <w:color w:val="000000"/>
                        <w:kern w:val="0"/>
                        <w:szCs w:val="24"/>
                        <w:lang w:eastAsia="lv-LV"/>
                      </w:rPr>
                      <m:t>)</m:t>
                    </m:r>
                  </m:den>
                </m:f>
                <m:r>
                  <w:rPr>
                    <w:rFonts w:ascii="Cambria Math" w:eastAsia="Times New Roman" w:hAnsi="Cambria Math" w:cs="Times New Roman"/>
                    <w:color w:val="000000"/>
                    <w:kern w:val="0"/>
                    <w:szCs w:val="24"/>
                    <w:lang w:eastAsia="lv-LV"/>
                  </w:rPr>
                  <m:t>⋅100</m:t>
                </m:r>
              </m:oMath>
            </m:oMathPara>
          </w:p>
          <w:p w14:paraId="4CAE5FA2" w14:textId="77777777" w:rsidR="00716D40" w:rsidRPr="00716D40" w:rsidRDefault="00716D40" w:rsidP="00716D40">
            <w:pPr>
              <w:widowControl/>
              <w:suppressAutoHyphens w:val="0"/>
              <w:autoSpaceDE w:val="0"/>
              <w:contextualSpacing/>
              <w:jc w:val="both"/>
              <w:textAlignment w:val="auto"/>
              <w:rPr>
                <w:rFonts w:eastAsia="Times New Roman" w:cs="Times New Roman"/>
                <w:color w:val="000000"/>
                <w:kern w:val="0"/>
                <w:sz w:val="20"/>
                <w:szCs w:val="20"/>
                <w:lang w:eastAsia="x-none"/>
              </w:rPr>
            </w:pPr>
          </w:p>
          <w:p w14:paraId="5897A364" w14:textId="77777777" w:rsidR="00716D40" w:rsidRPr="00716D40" w:rsidRDefault="00716D40" w:rsidP="00716D40">
            <w:pPr>
              <w:widowControl/>
              <w:suppressAutoHyphens w:val="0"/>
              <w:autoSpaceDE w:val="0"/>
              <w:adjustRightInd w:val="0"/>
              <w:contextualSpacing/>
              <w:jc w:val="both"/>
              <w:textAlignment w:val="auto"/>
              <w:rPr>
                <w:rFonts w:eastAsia="Times New Roman" w:cs="Times New Roman"/>
                <w:bCs/>
                <w:color w:val="000000"/>
                <w:kern w:val="0"/>
                <w:lang w:eastAsia="lv-LV"/>
              </w:rPr>
            </w:pPr>
            <w:r w:rsidRPr="00716D40">
              <w:rPr>
                <w:rFonts w:eastAsia="Times New Roman" w:cs="Times New Roman"/>
                <w:bCs/>
                <w:color w:val="000000"/>
                <w:kern w:val="0"/>
                <w:lang w:eastAsia="lv-LV"/>
              </w:rPr>
              <w:t>Iegūtā % samazinājuma vērtību noapaļo līdz vienam ciparam aiz komata</w:t>
            </w:r>
            <w:r w:rsidRPr="00716D40">
              <w:rPr>
                <w:rFonts w:eastAsia="Times New Roman" w:cs="Times New Roman"/>
                <w:bCs/>
                <w:color w:val="000000"/>
                <w:kern w:val="0"/>
                <w:vertAlign w:val="superscript"/>
                <w:lang w:eastAsia="lv-LV"/>
              </w:rPr>
              <w:footnoteReference w:id="4"/>
            </w:r>
            <w:r w:rsidRPr="00716D40">
              <w:rPr>
                <w:rFonts w:eastAsia="Times New Roman" w:cs="Times New Roman"/>
                <w:bCs/>
                <w:color w:val="000000"/>
                <w:kern w:val="0"/>
                <w:lang w:eastAsia="lv-LV"/>
              </w:rPr>
              <w:t>.</w:t>
            </w:r>
          </w:p>
          <w:p w14:paraId="4C640F7D" w14:textId="77777777" w:rsidR="00716D40" w:rsidRPr="00716D40" w:rsidRDefault="00716D40" w:rsidP="00716D40">
            <w:pPr>
              <w:widowControl/>
              <w:suppressAutoHyphens w:val="0"/>
              <w:autoSpaceDE w:val="0"/>
              <w:adjustRightInd w:val="0"/>
              <w:contextualSpacing/>
              <w:jc w:val="both"/>
              <w:textAlignment w:val="auto"/>
              <w:rPr>
                <w:rFonts w:eastAsia="Times New Roman" w:cs="Times New Roman"/>
                <w:bCs/>
                <w:color w:val="000000"/>
                <w:kern w:val="0"/>
                <w:lang w:eastAsia="lv-LV"/>
              </w:rPr>
            </w:pPr>
            <w:r w:rsidRPr="00716D40">
              <w:rPr>
                <w:rFonts w:eastAsia="Times New Roman" w:cs="Times New Roman"/>
                <w:bCs/>
                <w:color w:val="000000"/>
                <w:kern w:val="0"/>
                <w:lang w:eastAsia="lv-LV"/>
              </w:rPr>
              <w:t xml:space="preserve">Gadījumā, ja jau pirms projekta īstenošanas tiek īstenoti kādi no piesārņojuma samazinājuma mērķiem (%) (kas secināms pēc </w:t>
            </w:r>
            <w:r w:rsidRPr="00716D40">
              <w:rPr>
                <w:rFonts w:eastAsia="Times New Roman" w:cs="Times New Roman"/>
                <w:color w:val="000000"/>
                <w:kern w:val="0"/>
                <w:szCs w:val="24"/>
                <w:lang w:eastAsia="lv-LV"/>
              </w:rPr>
              <w:t>Valsts statistiskā pārskata</w:t>
            </w:r>
            <w:r w:rsidRPr="00716D40">
              <w:rPr>
                <w:rFonts w:eastAsia="Times New Roman" w:cs="Times New Roman"/>
                <w:bCs/>
                <w:color w:val="000000"/>
                <w:kern w:val="0"/>
                <w:lang w:eastAsia="lv-LV"/>
              </w:rPr>
              <w:t xml:space="preserve"> 2-Ūdens veidlapā sniegtās informācijas), punktus iespējams piešķirt tikai tad, ja tiek sasniegts vai nu lielāks piesārņojuma samazinājums (%) (par ko piešķirami 3 vai 5 punkti) gan kopējam slāpeklim, gan kopējam fosforam, vai tiek sasniegts tās piesārņojošās vielas samazinājums, kuras koncentrācija nenodrošināja kādā no apakškritērijiem norādīto sasniedzamo piesārņojuma samazinājumu (%), t.i. punkti var tikt piešķirti arī par vienas no piesārņojošās vielas koncentrācijas samazinājuma nodrošināšanu, ja otras vielas koncentrācijas samazināšana jau ir nodrošināta pirms projekta īstenošanas</w:t>
            </w:r>
          </w:p>
          <w:p w14:paraId="56CB1882" w14:textId="0BACC442" w:rsidR="006376E7" w:rsidRPr="006376E7" w:rsidRDefault="006376E7" w:rsidP="006376E7">
            <w:pPr>
              <w:rPr>
                <w:color w:val="000000" w:themeColor="text1"/>
              </w:rPr>
            </w:pPr>
          </w:p>
        </w:tc>
        <w:tc>
          <w:tcPr>
            <w:tcW w:w="5859" w:type="dxa"/>
          </w:tcPr>
          <w:p w14:paraId="3C52B1A1" w14:textId="77777777" w:rsidR="009E69BB" w:rsidRPr="00750099" w:rsidRDefault="009E69BB" w:rsidP="009E69BB">
            <w:pPr>
              <w:rPr>
                <w:b/>
                <w:bCs/>
                <w:color w:val="000000" w:themeColor="text1"/>
              </w:rPr>
            </w:pPr>
            <w:r w:rsidRPr="00750099">
              <w:rPr>
                <w:b/>
                <w:bCs/>
                <w:color w:val="000000" w:themeColor="text1"/>
              </w:rPr>
              <w:lastRenderedPageBreak/>
              <w:t>Skaidrojums atbilstības noteikšanai</w:t>
            </w:r>
          </w:p>
          <w:p w14:paraId="26549897" w14:textId="77777777" w:rsidR="00C1720B" w:rsidRPr="00C1720B" w:rsidRDefault="00C1720B" w:rsidP="00C1720B">
            <w:pPr>
              <w:widowControl/>
              <w:suppressAutoHyphens w:val="0"/>
              <w:autoSpaceDN/>
              <w:jc w:val="both"/>
              <w:textAlignment w:val="auto"/>
              <w:rPr>
                <w:rFonts w:eastAsia="Times New Roman" w:cs="Times New Roman"/>
                <w:color w:val="000000" w:themeColor="text1"/>
                <w:kern w:val="0"/>
                <w:szCs w:val="24"/>
                <w:lang w:eastAsia="lv-LV"/>
              </w:rPr>
            </w:pPr>
            <w:r w:rsidRPr="00C1720B">
              <w:rPr>
                <w:rFonts w:eastAsia="Times New Roman" w:cs="Times New Roman"/>
                <w:color w:val="000000"/>
                <w:kern w:val="0"/>
                <w:szCs w:val="24"/>
                <w:lang w:eastAsia="lv-LV"/>
              </w:rPr>
              <w:t xml:space="preserve">Kritērija vērtēšanai izmanto projekta iesniegumā sniegto aprēķinu par to N un P piesārņojuma samazinājumu %, kas notekūdeņu attīrīšanas iekārtās nodrošināts pirms projekta īstenošanas un plānoto samazinājumu % pēc projekta īstenošanas (samazinājumu (%) pēc projekta īstenošanas nosaka, balstoties uz projekta iesniedzēja aprēķinātajiem datiem par plānoto projekta darbību ietekmi uz N un P piesārņojuma samazināšanu). Samazinājumu (%) pirms projekta īstenošanas nosaka, salīdzinot iekārtās ieplūstošo un </w:t>
            </w:r>
            <w:r w:rsidRPr="00C1720B">
              <w:rPr>
                <w:rFonts w:eastAsia="Times New Roman" w:cs="Times New Roman"/>
                <w:color w:val="000000" w:themeColor="text1"/>
                <w:kern w:val="0"/>
                <w:szCs w:val="24"/>
                <w:lang w:eastAsia="lv-LV"/>
              </w:rPr>
              <w:t>vidē novadīto piesārņojuma daudzumu, kas aprēķināts pēc Valsts statistiskā pārskata 2-Ūdens veidlapā (izmanto jaunāko pieejamo informāciju) norādītā kopējā slāpekļa (N</w:t>
            </w:r>
            <w:r w:rsidRPr="00C1720B">
              <w:rPr>
                <w:rFonts w:eastAsia="Times New Roman" w:cs="Times New Roman"/>
                <w:color w:val="000000" w:themeColor="text1"/>
                <w:kern w:val="0"/>
                <w:szCs w:val="24"/>
                <w:vertAlign w:val="subscript"/>
                <w:lang w:eastAsia="lv-LV"/>
              </w:rPr>
              <w:t>kop</w:t>
            </w:r>
            <w:r w:rsidRPr="00C1720B">
              <w:rPr>
                <w:rFonts w:eastAsia="Times New Roman" w:cs="Times New Roman"/>
                <w:color w:val="000000" w:themeColor="text1"/>
                <w:kern w:val="0"/>
                <w:szCs w:val="24"/>
                <w:lang w:eastAsia="lv-LV"/>
              </w:rPr>
              <w:t>) un kopējā fosfora (P</w:t>
            </w:r>
            <w:r w:rsidRPr="00C1720B">
              <w:rPr>
                <w:rFonts w:eastAsia="Times New Roman" w:cs="Times New Roman"/>
                <w:color w:val="000000" w:themeColor="text1"/>
                <w:kern w:val="0"/>
                <w:szCs w:val="24"/>
                <w:vertAlign w:val="subscript"/>
                <w:lang w:eastAsia="lv-LV"/>
              </w:rPr>
              <w:t>kop</w:t>
            </w:r>
            <w:r w:rsidRPr="00C1720B">
              <w:rPr>
                <w:rFonts w:eastAsia="Times New Roman" w:cs="Times New Roman"/>
                <w:color w:val="000000" w:themeColor="text1"/>
                <w:kern w:val="0"/>
                <w:szCs w:val="24"/>
                <w:lang w:eastAsia="lv-LV"/>
              </w:rPr>
              <w:t>) paliekošā piesārņojuma apjoma. Aprēķinu veic, izmantojot veidlapas E tabulas “Paliekošais piesārņojums tonnas gadā” 4. kolonnā “Izejošais piesārņojums” un 3. kolonnā “Ienākošais piesārņojums” norādītos datus. Veic aprēķinu formulā:</w:t>
            </w:r>
          </w:p>
          <w:p w14:paraId="166E9ACC" w14:textId="77777777" w:rsidR="00C1720B" w:rsidRPr="00C1720B" w:rsidRDefault="00C1720B" w:rsidP="00C1720B">
            <w:pPr>
              <w:widowControl/>
              <w:suppressAutoHyphens w:val="0"/>
              <w:autoSpaceDN/>
              <w:jc w:val="center"/>
              <w:textAlignment w:val="auto"/>
              <w:rPr>
                <w:rFonts w:eastAsia="Times New Roman" w:cs="Times New Roman"/>
                <w:color w:val="000000" w:themeColor="text1"/>
                <w:kern w:val="0"/>
                <w:szCs w:val="24"/>
                <w:lang w:eastAsia="lv-LV"/>
              </w:rPr>
            </w:pPr>
            <m:oMath>
              <m:r>
                <w:rPr>
                  <w:rFonts w:ascii="Cambria Math" w:eastAsia="Times New Roman" w:hAnsi="Cambria Math" w:cs="Times New Roman"/>
                  <w:color w:val="000000" w:themeColor="text1"/>
                  <w:kern w:val="0"/>
                  <w:szCs w:val="24"/>
                  <w:lang w:eastAsia="lv-LV"/>
                </w:rPr>
                <m:t>100-</m:t>
              </m:r>
              <m:f>
                <m:fPr>
                  <m:ctrlPr>
                    <w:rPr>
                      <w:rFonts w:ascii="Cambria Math" w:eastAsia="Times New Roman" w:hAnsi="Cambria Math" w:cs="Times New Roman"/>
                      <w:i/>
                      <w:color w:val="000000" w:themeColor="text1"/>
                      <w:kern w:val="0"/>
                      <w:szCs w:val="24"/>
                      <w:lang w:eastAsia="lv-LV"/>
                    </w:rPr>
                  </m:ctrlPr>
                </m:fPr>
                <m:num>
                  <m:sSub>
                    <m:sSubPr>
                      <m:ctrlPr>
                        <w:rPr>
                          <w:rFonts w:ascii="Cambria Math" w:eastAsia="Times New Roman" w:hAnsi="Cambria Math" w:cs="Times New Roman"/>
                          <w:i/>
                          <w:color w:val="000000" w:themeColor="text1"/>
                          <w:kern w:val="0"/>
                          <w:szCs w:val="24"/>
                          <w:lang w:eastAsia="lv-LV"/>
                        </w:rPr>
                      </m:ctrlPr>
                    </m:sSubPr>
                    <m:e>
                      <m:r>
                        <w:rPr>
                          <w:rFonts w:ascii="Cambria Math" w:eastAsia="Times New Roman" w:hAnsi="Cambria Math" w:cs="Times New Roman"/>
                          <w:color w:val="000000" w:themeColor="text1"/>
                          <w:kern w:val="0"/>
                          <w:szCs w:val="24"/>
                          <w:lang w:eastAsia="lv-LV"/>
                        </w:rPr>
                        <m:t>k</m:t>
                      </m:r>
                    </m:e>
                    <m:sub>
                      <m:r>
                        <w:rPr>
                          <w:rFonts w:ascii="Cambria Math" w:eastAsia="Times New Roman" w:hAnsi="Cambria Math" w:cs="Times New Roman"/>
                          <w:color w:val="000000" w:themeColor="text1"/>
                          <w:kern w:val="0"/>
                          <w:szCs w:val="24"/>
                          <w:lang w:eastAsia="lv-LV"/>
                        </w:rPr>
                        <m:t>2</m:t>
                      </m:r>
                    </m:sub>
                  </m:sSub>
                  <m:r>
                    <w:rPr>
                      <w:rFonts w:ascii="Cambria Math" w:eastAsia="Times New Roman" w:hAnsi="Cambria Math" w:cs="Times New Roman"/>
                      <w:color w:val="000000" w:themeColor="text1"/>
                      <w:kern w:val="0"/>
                      <w:szCs w:val="24"/>
                      <w:lang w:eastAsia="lv-LV"/>
                    </w:rPr>
                    <m:t xml:space="preserve"> (</m:t>
                  </m:r>
                  <m:f>
                    <m:fPr>
                      <m:ctrlPr>
                        <w:rPr>
                          <w:rFonts w:ascii="Cambria Math" w:eastAsia="Times New Roman" w:hAnsi="Cambria Math" w:cs="Times New Roman"/>
                          <w:i/>
                          <w:color w:val="000000" w:themeColor="text1"/>
                          <w:kern w:val="0"/>
                          <w:szCs w:val="24"/>
                          <w:lang w:eastAsia="lv-LV"/>
                        </w:rPr>
                      </m:ctrlPr>
                    </m:fPr>
                    <m:num>
                      <m:r>
                        <w:rPr>
                          <w:rFonts w:ascii="Cambria Math" w:eastAsia="Times New Roman" w:hAnsi="Cambria Math" w:cs="Times New Roman"/>
                          <w:color w:val="000000" w:themeColor="text1"/>
                          <w:kern w:val="0"/>
                          <w:szCs w:val="24"/>
                          <w:lang w:eastAsia="lv-LV"/>
                        </w:rPr>
                        <m:t>t</m:t>
                      </m:r>
                    </m:num>
                    <m:den>
                      <m:r>
                        <w:rPr>
                          <w:rFonts w:ascii="Cambria Math" w:eastAsia="Times New Roman" w:hAnsi="Cambria Math" w:cs="Times New Roman"/>
                          <w:color w:val="000000" w:themeColor="text1"/>
                          <w:kern w:val="0"/>
                          <w:szCs w:val="24"/>
                          <w:lang w:eastAsia="lv-LV"/>
                        </w:rPr>
                        <m:t>gadā</m:t>
                      </m:r>
                    </m:den>
                  </m:f>
                  <m:r>
                    <w:rPr>
                      <w:rFonts w:ascii="Cambria Math" w:eastAsia="Times New Roman" w:hAnsi="Cambria Math" w:cs="Times New Roman"/>
                      <w:color w:val="000000" w:themeColor="text1"/>
                      <w:kern w:val="0"/>
                      <w:szCs w:val="24"/>
                      <w:lang w:eastAsia="lv-LV"/>
                    </w:rPr>
                    <m:t>)</m:t>
                  </m:r>
                </m:num>
                <m:den>
                  <m:sSub>
                    <m:sSubPr>
                      <m:ctrlPr>
                        <w:rPr>
                          <w:rFonts w:ascii="Cambria Math" w:eastAsia="Times New Roman" w:hAnsi="Cambria Math" w:cs="Times New Roman"/>
                          <w:i/>
                          <w:color w:val="000000" w:themeColor="text1"/>
                          <w:kern w:val="0"/>
                          <w:szCs w:val="24"/>
                          <w:lang w:eastAsia="lv-LV"/>
                        </w:rPr>
                      </m:ctrlPr>
                    </m:sSubPr>
                    <m:e>
                      <m:r>
                        <w:rPr>
                          <w:rFonts w:ascii="Cambria Math" w:eastAsia="Times New Roman" w:hAnsi="Cambria Math" w:cs="Times New Roman"/>
                          <w:color w:val="000000" w:themeColor="text1"/>
                          <w:kern w:val="0"/>
                          <w:szCs w:val="24"/>
                          <w:lang w:eastAsia="lv-LV"/>
                        </w:rPr>
                        <m:t>k</m:t>
                      </m:r>
                    </m:e>
                    <m:sub>
                      <m:r>
                        <w:rPr>
                          <w:rFonts w:ascii="Cambria Math" w:eastAsia="Times New Roman" w:hAnsi="Cambria Math" w:cs="Times New Roman"/>
                          <w:color w:val="000000" w:themeColor="text1"/>
                          <w:kern w:val="0"/>
                          <w:szCs w:val="24"/>
                          <w:lang w:eastAsia="lv-LV"/>
                        </w:rPr>
                        <m:t>1</m:t>
                      </m:r>
                    </m:sub>
                  </m:sSub>
                  <m:r>
                    <w:rPr>
                      <w:rFonts w:ascii="Cambria Math" w:eastAsia="Times New Roman" w:hAnsi="Cambria Math" w:cs="Times New Roman"/>
                      <w:color w:val="000000" w:themeColor="text1"/>
                      <w:kern w:val="0"/>
                      <w:szCs w:val="24"/>
                      <w:lang w:eastAsia="lv-LV"/>
                    </w:rPr>
                    <m:t xml:space="preserve"> (</m:t>
                  </m:r>
                  <m:f>
                    <m:fPr>
                      <m:ctrlPr>
                        <w:rPr>
                          <w:rFonts w:ascii="Cambria Math" w:eastAsia="Times New Roman" w:hAnsi="Cambria Math" w:cs="Times New Roman"/>
                          <w:i/>
                          <w:color w:val="000000" w:themeColor="text1"/>
                          <w:kern w:val="0"/>
                          <w:szCs w:val="24"/>
                          <w:lang w:eastAsia="lv-LV"/>
                        </w:rPr>
                      </m:ctrlPr>
                    </m:fPr>
                    <m:num>
                      <m:r>
                        <w:rPr>
                          <w:rFonts w:ascii="Cambria Math" w:eastAsia="Times New Roman" w:hAnsi="Cambria Math" w:cs="Times New Roman"/>
                          <w:color w:val="000000" w:themeColor="text1"/>
                          <w:kern w:val="0"/>
                          <w:szCs w:val="24"/>
                          <w:lang w:eastAsia="lv-LV"/>
                        </w:rPr>
                        <m:t>t</m:t>
                      </m:r>
                    </m:num>
                    <m:den>
                      <m:r>
                        <w:rPr>
                          <w:rFonts w:ascii="Cambria Math" w:eastAsia="Times New Roman" w:hAnsi="Cambria Math" w:cs="Times New Roman"/>
                          <w:color w:val="000000" w:themeColor="text1"/>
                          <w:kern w:val="0"/>
                          <w:szCs w:val="24"/>
                          <w:lang w:eastAsia="lv-LV"/>
                        </w:rPr>
                        <m:t>gadā</m:t>
                      </m:r>
                    </m:den>
                  </m:f>
                  <m:r>
                    <w:rPr>
                      <w:rFonts w:ascii="Cambria Math" w:eastAsia="Times New Roman" w:hAnsi="Cambria Math" w:cs="Times New Roman"/>
                      <w:color w:val="000000" w:themeColor="text1"/>
                      <w:kern w:val="0"/>
                      <w:szCs w:val="24"/>
                      <w:lang w:eastAsia="lv-LV"/>
                    </w:rPr>
                    <m:t>)</m:t>
                  </m:r>
                </m:den>
              </m:f>
              <m:r>
                <w:rPr>
                  <w:rFonts w:ascii="Cambria Math" w:eastAsia="Times New Roman" w:hAnsi="Cambria Math" w:cs="Times New Roman"/>
                  <w:color w:val="000000" w:themeColor="text1"/>
                  <w:kern w:val="0"/>
                  <w:szCs w:val="24"/>
                  <w:lang w:eastAsia="lv-LV"/>
                </w:rPr>
                <m:t>⋅100</m:t>
              </m:r>
            </m:oMath>
            <w:r w:rsidRPr="00C1720B">
              <w:rPr>
                <w:rFonts w:eastAsia="Times New Roman" w:cs="Times New Roman"/>
                <w:color w:val="000000" w:themeColor="text1"/>
                <w:kern w:val="0"/>
                <w:szCs w:val="24"/>
                <w:lang w:eastAsia="lv-LV"/>
              </w:rPr>
              <w:t>,</w:t>
            </w:r>
          </w:p>
          <w:p w14:paraId="2C353198" w14:textId="77777777" w:rsidR="00C1720B" w:rsidRPr="00C1720B" w:rsidRDefault="00C1720B" w:rsidP="00C1720B">
            <w:pPr>
              <w:widowControl/>
              <w:suppressAutoHyphens w:val="0"/>
              <w:autoSpaceDE w:val="0"/>
              <w:contextualSpacing/>
              <w:jc w:val="both"/>
              <w:textAlignment w:val="auto"/>
              <w:rPr>
                <w:rFonts w:eastAsia="Times New Roman" w:cs="Times New Roman"/>
                <w:color w:val="000000" w:themeColor="text1"/>
                <w:kern w:val="0"/>
                <w:sz w:val="20"/>
                <w:szCs w:val="20"/>
                <w:lang w:eastAsia="x-none"/>
              </w:rPr>
            </w:pPr>
            <w:r w:rsidRPr="00C1720B">
              <w:rPr>
                <w:rFonts w:eastAsia="Times New Roman" w:cs="Times New Roman"/>
                <w:color w:val="000000" w:themeColor="text1"/>
                <w:kern w:val="0"/>
                <w:sz w:val="20"/>
                <w:szCs w:val="20"/>
                <w:lang w:eastAsia="x-none"/>
              </w:rPr>
              <w:t>kur k</w:t>
            </w:r>
            <w:r w:rsidRPr="00C1720B">
              <w:rPr>
                <w:rFonts w:eastAsia="Times New Roman" w:cs="Times New Roman"/>
                <w:color w:val="000000" w:themeColor="text1"/>
                <w:kern w:val="0"/>
                <w:sz w:val="20"/>
                <w:szCs w:val="20"/>
                <w:vertAlign w:val="subscript"/>
                <w:lang w:eastAsia="x-none"/>
              </w:rPr>
              <w:t>2</w:t>
            </w:r>
            <w:r w:rsidRPr="00C1720B">
              <w:rPr>
                <w:rFonts w:eastAsia="Times New Roman" w:cs="Times New Roman"/>
                <w:color w:val="000000" w:themeColor="text1"/>
                <w:kern w:val="0"/>
                <w:sz w:val="20"/>
                <w:szCs w:val="20"/>
                <w:lang w:eastAsia="x-none"/>
              </w:rPr>
              <w:t xml:space="preserve"> = izejošais piesārņojums, t/gadā (E tabulas 4. kolonna) un k</w:t>
            </w:r>
            <w:r w:rsidRPr="00C1720B">
              <w:rPr>
                <w:rFonts w:eastAsia="Times New Roman" w:cs="Times New Roman"/>
                <w:color w:val="000000" w:themeColor="text1"/>
                <w:kern w:val="0"/>
                <w:sz w:val="20"/>
                <w:szCs w:val="20"/>
                <w:vertAlign w:val="subscript"/>
                <w:lang w:eastAsia="x-none"/>
              </w:rPr>
              <w:t>1</w:t>
            </w:r>
            <w:r w:rsidRPr="00C1720B">
              <w:rPr>
                <w:rFonts w:eastAsia="Times New Roman" w:cs="Times New Roman"/>
                <w:color w:val="000000" w:themeColor="text1"/>
                <w:kern w:val="0"/>
                <w:sz w:val="20"/>
                <w:szCs w:val="20"/>
                <w:lang w:eastAsia="x-none"/>
              </w:rPr>
              <w:t xml:space="preserve"> = ienākošais piesārņojums, t/gadā (E tabulas 3. kolonna).</w:t>
            </w:r>
          </w:p>
          <w:p w14:paraId="0FBC5183" w14:textId="77777777" w:rsidR="00C1720B" w:rsidRPr="00C1720B" w:rsidRDefault="00C1720B" w:rsidP="00C1720B">
            <w:pPr>
              <w:widowControl/>
              <w:suppressAutoHyphens w:val="0"/>
              <w:autoSpaceDE w:val="0"/>
              <w:adjustRightInd w:val="0"/>
              <w:contextualSpacing/>
              <w:jc w:val="both"/>
              <w:textAlignment w:val="auto"/>
              <w:rPr>
                <w:rFonts w:eastAsia="Times New Roman" w:cs="Times New Roman"/>
                <w:bCs/>
                <w:color w:val="000000" w:themeColor="text1"/>
                <w:kern w:val="0"/>
                <w:lang w:eastAsia="lv-LV"/>
              </w:rPr>
            </w:pPr>
            <w:r w:rsidRPr="00C1720B">
              <w:rPr>
                <w:rFonts w:eastAsia="Times New Roman" w:cs="Times New Roman"/>
                <w:bCs/>
                <w:color w:val="000000" w:themeColor="text1"/>
                <w:kern w:val="0"/>
                <w:lang w:eastAsia="lv-LV"/>
              </w:rPr>
              <w:t>Iegūtā % samazinājuma vērtību noapaļo līdz vienam ciparam aiz komata</w:t>
            </w:r>
            <w:r w:rsidRPr="00C1720B">
              <w:rPr>
                <w:rFonts w:eastAsia="Times New Roman" w:cs="Times New Roman"/>
                <w:bCs/>
                <w:color w:val="000000" w:themeColor="text1"/>
                <w:kern w:val="0"/>
                <w:vertAlign w:val="superscript"/>
                <w:lang w:eastAsia="lv-LV"/>
              </w:rPr>
              <w:footnoteReference w:id="5"/>
            </w:r>
            <w:r w:rsidRPr="00C1720B">
              <w:rPr>
                <w:rFonts w:eastAsia="Times New Roman" w:cs="Times New Roman"/>
                <w:bCs/>
                <w:color w:val="000000" w:themeColor="text1"/>
                <w:kern w:val="0"/>
                <w:lang w:eastAsia="lv-LV"/>
              </w:rPr>
              <w:t>.</w:t>
            </w:r>
          </w:p>
          <w:p w14:paraId="487824AB" w14:textId="468FD865" w:rsidR="006376E7" w:rsidRPr="006376E7" w:rsidRDefault="00C1720B" w:rsidP="00C23A4C">
            <w:pPr>
              <w:rPr>
                <w:color w:val="000000" w:themeColor="text1"/>
              </w:rPr>
            </w:pPr>
            <w:r w:rsidRPr="00C1720B">
              <w:rPr>
                <w:rFonts w:eastAsia="Times New Roman" w:cs="Times New Roman"/>
                <w:bCs/>
                <w:color w:val="000000" w:themeColor="text1"/>
                <w:kern w:val="0"/>
                <w:lang w:eastAsia="lv-LV"/>
              </w:rPr>
              <w:t xml:space="preserve">Gadījumā, ja jau pirms projekta īstenošanas tiek īstenots kāds no piesārņojuma samazinājuma mērķiem (%) (kas secināms pēc </w:t>
            </w:r>
            <w:r w:rsidRPr="00C1720B">
              <w:rPr>
                <w:rFonts w:eastAsia="Times New Roman" w:cs="Times New Roman"/>
                <w:color w:val="000000" w:themeColor="text1"/>
                <w:kern w:val="0"/>
                <w:szCs w:val="24"/>
                <w:lang w:eastAsia="lv-LV"/>
              </w:rPr>
              <w:t>Valsts statistiskā pārskata</w:t>
            </w:r>
            <w:r w:rsidRPr="00C1720B">
              <w:rPr>
                <w:rFonts w:eastAsia="Times New Roman" w:cs="Times New Roman"/>
                <w:bCs/>
                <w:color w:val="000000" w:themeColor="text1"/>
                <w:kern w:val="0"/>
                <w:lang w:eastAsia="lv-LV"/>
              </w:rPr>
              <w:t xml:space="preserve"> 2-Ūdens veidlapā sniegtās informācijas), punktus iespējams piešķirt tikai tad, ja pēc projekta īstenošanas tiek sasniegts lielāks piesārņojuma samazinājums (%) gan kopējam slāpeklim, gan kopējam </w:t>
            </w:r>
            <w:r w:rsidRPr="00C1720B">
              <w:rPr>
                <w:rFonts w:eastAsia="Times New Roman" w:cs="Times New Roman"/>
                <w:bCs/>
                <w:color w:val="000000" w:themeColor="text1"/>
                <w:kern w:val="0"/>
                <w:lang w:eastAsia="lv-LV"/>
              </w:rPr>
              <w:lastRenderedPageBreak/>
              <w:t xml:space="preserve">fosforam – tiek sasniegts tās piesārņojošās vielas samazinājums, kuras koncentrācija nenodrošināja 3.1.1. apakškritērijā norādīto sasniedzamo piesārņojuma samazinājumu (%), t.i. punkti var tikt piešķirti arī par vienas no piesārņojošās vielas koncentrācijas samazinājuma </w:t>
            </w:r>
            <w:r w:rsidRPr="00C1720B">
              <w:rPr>
                <w:rFonts w:eastAsia="Times New Roman" w:cs="Times New Roman"/>
                <w:bCs/>
                <w:color w:val="000000"/>
                <w:kern w:val="0"/>
                <w:lang w:eastAsia="lv-LV"/>
              </w:rPr>
              <w:t>nodrošināšanu, ja otras vielas koncentrācijas samazināšana jau ir nodrošināta pirms projekta īstenošanas.</w:t>
            </w:r>
          </w:p>
        </w:tc>
        <w:tc>
          <w:tcPr>
            <w:tcW w:w="3543" w:type="dxa"/>
          </w:tcPr>
          <w:p w14:paraId="44238E1C" w14:textId="74751649" w:rsidR="006376E7" w:rsidRPr="00BD36CD" w:rsidRDefault="00C1720B" w:rsidP="00177D5B">
            <w:pPr>
              <w:pStyle w:val="Standard"/>
              <w:jc w:val="both"/>
              <w:rPr>
                <w:sz w:val="22"/>
              </w:rPr>
            </w:pPr>
            <w:r>
              <w:rPr>
                <w:sz w:val="22"/>
              </w:rPr>
              <w:lastRenderedPageBreak/>
              <w:t>Lūdzam precizēt</w:t>
            </w:r>
            <w:r w:rsidR="00750099">
              <w:rPr>
                <w:sz w:val="22"/>
              </w:rPr>
              <w:t xml:space="preserve"> kritērija piemērošanas skaidrojum</w:t>
            </w:r>
            <w:r>
              <w:rPr>
                <w:sz w:val="22"/>
              </w:rPr>
              <w:t>u</w:t>
            </w:r>
            <w:r w:rsidR="00750099">
              <w:rPr>
                <w:sz w:val="22"/>
              </w:rPr>
              <w:t>, pamatoj</w:t>
            </w:r>
            <w:r w:rsidR="00705ACE">
              <w:rPr>
                <w:sz w:val="22"/>
              </w:rPr>
              <w:t>oties uz</w:t>
            </w:r>
            <w:r w:rsidR="00705ACE" w:rsidRPr="00705ACE">
              <w:rPr>
                <w:sz w:val="22"/>
              </w:rPr>
              <w:t xml:space="preserve"> piesārņojuma samazinājum</w:t>
            </w:r>
            <w:r w:rsidR="00705ACE">
              <w:rPr>
                <w:sz w:val="22"/>
              </w:rPr>
              <w:t>a aprēķinu</w:t>
            </w:r>
            <w:r w:rsidR="00705ACE" w:rsidRPr="00705ACE">
              <w:rPr>
                <w:sz w:val="22"/>
              </w:rPr>
              <w:t xml:space="preserve"> no ienākošās un izejošās slodzes (t/gadā) atbilstoši </w:t>
            </w:r>
            <w:r w:rsidR="0081520F" w:rsidRPr="0081520F">
              <w:rPr>
                <w:sz w:val="22"/>
              </w:rPr>
              <w:t>atjaunotās Direktīvas</w:t>
            </w:r>
            <w:r w:rsidR="0081520F" w:rsidRPr="0081520F">
              <w:rPr>
                <w:i/>
                <w:iCs/>
                <w:sz w:val="22"/>
              </w:rPr>
              <w:t xml:space="preserve"> par komunālo notekūdeņu attīrīšanu</w:t>
            </w:r>
            <w:r w:rsidR="0081520F" w:rsidRPr="0081520F">
              <w:rPr>
                <w:sz w:val="22"/>
              </w:rPr>
              <w:t xml:space="preserve"> 7. panta 5. punkt</w:t>
            </w:r>
            <w:r w:rsidR="0081520F">
              <w:rPr>
                <w:sz w:val="22"/>
              </w:rPr>
              <w:t>u.</w:t>
            </w:r>
          </w:p>
        </w:tc>
      </w:tr>
      <w:tr w:rsidR="006376E7" w:rsidRPr="00F95150" w14:paraId="26E14301" w14:textId="77777777" w:rsidTr="00CE0989">
        <w:tc>
          <w:tcPr>
            <w:tcW w:w="508" w:type="dxa"/>
          </w:tcPr>
          <w:p w14:paraId="643B8EBA" w14:textId="77777777" w:rsidR="006376E7" w:rsidRPr="004C2517" w:rsidRDefault="006376E7" w:rsidP="00A57181">
            <w:pPr>
              <w:pStyle w:val="Standard"/>
              <w:numPr>
                <w:ilvl w:val="0"/>
                <w:numId w:val="13"/>
              </w:numPr>
              <w:ind w:hanging="1049"/>
              <w:jc w:val="center"/>
              <w:rPr>
                <w:sz w:val="22"/>
              </w:rPr>
            </w:pPr>
          </w:p>
        </w:tc>
        <w:tc>
          <w:tcPr>
            <w:tcW w:w="1049" w:type="dxa"/>
          </w:tcPr>
          <w:p w14:paraId="5BDF643D" w14:textId="73E8AD6D" w:rsidR="006376E7" w:rsidRDefault="009E69BB" w:rsidP="00177D5B">
            <w:pPr>
              <w:pStyle w:val="Standard"/>
              <w:jc w:val="both"/>
              <w:rPr>
                <w:b/>
                <w:bCs/>
                <w:sz w:val="22"/>
              </w:rPr>
            </w:pPr>
            <w:r>
              <w:rPr>
                <w:b/>
                <w:bCs/>
                <w:sz w:val="22"/>
              </w:rPr>
              <w:t>Nr. 3.5.</w:t>
            </w:r>
          </w:p>
        </w:tc>
        <w:tc>
          <w:tcPr>
            <w:tcW w:w="4634" w:type="dxa"/>
          </w:tcPr>
          <w:p w14:paraId="6E2428D7" w14:textId="77777777" w:rsidR="009E69BB" w:rsidRPr="00D37EFE" w:rsidRDefault="009E69BB" w:rsidP="009E69BB">
            <w:pPr>
              <w:rPr>
                <w:b/>
                <w:bCs/>
                <w:color w:val="000000" w:themeColor="text1"/>
              </w:rPr>
            </w:pPr>
            <w:r w:rsidRPr="00D37EFE">
              <w:rPr>
                <w:b/>
                <w:bCs/>
                <w:color w:val="000000" w:themeColor="text1"/>
              </w:rPr>
              <w:t>Skaidrojums atbilstības noteikšanai</w:t>
            </w:r>
          </w:p>
          <w:p w14:paraId="24155CDE" w14:textId="05621E96" w:rsidR="006376E7" w:rsidRPr="006376E7" w:rsidRDefault="00200834" w:rsidP="006376E7">
            <w:pPr>
              <w:rPr>
                <w:color w:val="000000" w:themeColor="text1"/>
              </w:rPr>
            </w:pPr>
            <w:r w:rsidRPr="00200834">
              <w:rPr>
                <w:color w:val="000000" w:themeColor="text1"/>
              </w:rPr>
              <w:t xml:space="preserve">Pārbauda projekta iesniegumā iekļauto informāciju (projekta iesniedzēja aprēķinus) par projektā plānoto darbību efektivitāti un kritērijā minēto prasību izpildi (kādas slāpekļa un fosfora koncentrācijas vidē novadītajos notekūdeņos plānots sasniegt pēc </w:t>
            </w:r>
            <w:r w:rsidRPr="00200834">
              <w:rPr>
                <w:color w:val="000000" w:themeColor="text1"/>
              </w:rPr>
              <w:lastRenderedPageBreak/>
              <w:t>projekta īstenošanas) (ja projekta iesniedzējs jau šobrīd izpilda kādas no minētajām prasībām, kas secināms no Valsts statistiskā pārskata 2-Ūdens veidlapā sniegtās informācijas, punktus iespējams piešķirt tikai tad, ja tiek sasniegta vai nu zemāka piesārņojuma koncentrācija (mg/l) gan kopējam slāpeklim, gan kopējam fosforam, vai tiek sasniegta tās piesārņojošās vielas koncentrācija, kuras koncentrācija nenodrošināja kādā no apakškritērijiem norādīto sasniedzamo koncentrāciju, t.i., punkti var tikt piešķirti arī par vienas no piesārņojošās vielas koncentrācijas nodrošināšanu, ja otras vielas koncentrācijas samazināšana jau ir nodrošināta pirms projekta īstenošanas.</w:t>
            </w:r>
          </w:p>
        </w:tc>
        <w:tc>
          <w:tcPr>
            <w:tcW w:w="5859" w:type="dxa"/>
          </w:tcPr>
          <w:p w14:paraId="3146508A" w14:textId="77777777" w:rsidR="009E69BB" w:rsidRPr="00D37EFE" w:rsidRDefault="009E69BB" w:rsidP="009E69BB">
            <w:pPr>
              <w:rPr>
                <w:b/>
                <w:bCs/>
                <w:color w:val="000000" w:themeColor="text1"/>
              </w:rPr>
            </w:pPr>
            <w:r w:rsidRPr="00D37EFE">
              <w:rPr>
                <w:b/>
                <w:bCs/>
                <w:color w:val="000000" w:themeColor="text1"/>
              </w:rPr>
              <w:lastRenderedPageBreak/>
              <w:t>Skaidrojums atbilstības noteikšanai</w:t>
            </w:r>
          </w:p>
          <w:p w14:paraId="629868EB" w14:textId="4AA696BF" w:rsidR="006376E7" w:rsidRPr="006376E7" w:rsidRDefault="00371B61" w:rsidP="006376E7">
            <w:pPr>
              <w:rPr>
                <w:color w:val="000000" w:themeColor="text1"/>
              </w:rPr>
            </w:pPr>
            <w:r w:rsidRPr="00371B61">
              <w:rPr>
                <w:color w:val="000000" w:themeColor="text1"/>
              </w:rPr>
              <w:t>Pārbauda projekta iesniegumā iekļauto informāciju (projekta iesniedzēja aprēķinus) par projektā plānoto darbību efektivitāti un kritērijā minēto prasību izpildi (kādas slāpekļa un fosfora koncentrācijas vidē novadītajos notekūdeņos plānots sasniegt pēc projekta īstenošanas)</w:t>
            </w:r>
            <w:r w:rsidR="00D37EFE">
              <w:rPr>
                <w:color w:val="000000" w:themeColor="text1"/>
              </w:rPr>
              <w:t>. J</w:t>
            </w:r>
            <w:r w:rsidRPr="00371B61">
              <w:rPr>
                <w:color w:val="000000" w:themeColor="text1"/>
              </w:rPr>
              <w:t xml:space="preserve">a projekta iesniedzējs jau šobrīd izpilda kādas no minētajām prasībām, </w:t>
            </w:r>
            <w:r w:rsidRPr="00371B61">
              <w:rPr>
                <w:color w:val="000000" w:themeColor="text1"/>
              </w:rPr>
              <w:lastRenderedPageBreak/>
              <w:t>kas secināms no Valsts statistiskā pārskata 2-Ūdens veidlapā sniegtās informācijas, punktus iespējams piešķirt tikai tad, ja pēc projekta īstenošanas tiek sasniegta zemāka piesārņojuma koncentrācija (mg/l) gan kopējam slāpeklim, gan kopējam fosforam –</w:t>
            </w:r>
            <w:r w:rsidR="009D77A7">
              <w:rPr>
                <w:color w:val="000000" w:themeColor="text1"/>
              </w:rPr>
              <w:t xml:space="preserve"> </w:t>
            </w:r>
            <w:r w:rsidRPr="00371B61">
              <w:rPr>
                <w:color w:val="000000" w:themeColor="text1"/>
              </w:rPr>
              <w:t>tiek sasniegta tās piesārņojošās vielas koncentrācija, kuras koncentrācija nenodrošināja 3.5.1. apakškritērijā norādīto sasniedzamo koncentrāciju, t.i., punkti var tikt piešķirti arī par vienas no piesārņojošās vielas koncentrācijas nodrošināšanu, ja otras vielas koncentrācijas samazināšana jau ir nodrošināta pirms projekta īstenošanas.</w:t>
            </w:r>
          </w:p>
        </w:tc>
        <w:tc>
          <w:tcPr>
            <w:tcW w:w="3543" w:type="dxa"/>
          </w:tcPr>
          <w:p w14:paraId="0BFDE906" w14:textId="5C3BB3AC" w:rsidR="006376E7" w:rsidRPr="00BD36CD" w:rsidRDefault="00486298" w:rsidP="00177D5B">
            <w:pPr>
              <w:pStyle w:val="Standard"/>
              <w:jc w:val="both"/>
              <w:rPr>
                <w:sz w:val="22"/>
              </w:rPr>
            </w:pPr>
            <w:r>
              <w:rPr>
                <w:sz w:val="22"/>
              </w:rPr>
              <w:lastRenderedPageBreak/>
              <w:t>Lūdzam t</w:t>
            </w:r>
            <w:r w:rsidR="001270AF">
              <w:rPr>
                <w:sz w:val="22"/>
              </w:rPr>
              <w:t xml:space="preserve">ehniski precizēt kritērija piemērošanas </w:t>
            </w:r>
            <w:r w:rsidR="00CD52AF">
              <w:rPr>
                <w:sz w:val="22"/>
              </w:rPr>
              <w:t xml:space="preserve">pirmās rindkopas </w:t>
            </w:r>
            <w:r w:rsidR="001270AF">
              <w:rPr>
                <w:sz w:val="22"/>
              </w:rPr>
              <w:t>skaidrojum</w:t>
            </w:r>
            <w:r>
              <w:rPr>
                <w:sz w:val="22"/>
              </w:rPr>
              <w:t>u</w:t>
            </w:r>
            <w:r w:rsidR="001270AF">
              <w:rPr>
                <w:sz w:val="22"/>
              </w:rPr>
              <w:t xml:space="preserve">, pamatojumu lūdzam skatīt izziņas </w:t>
            </w:r>
            <w:r w:rsidR="00531F09">
              <w:rPr>
                <w:sz w:val="22"/>
              </w:rPr>
              <w:t>3</w:t>
            </w:r>
            <w:r w:rsidR="001270AF">
              <w:rPr>
                <w:sz w:val="22"/>
              </w:rPr>
              <w:t>. punktā.</w:t>
            </w: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937E5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992" w:left="1440"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20F47" w14:textId="77777777" w:rsidR="008C06FC" w:rsidRDefault="008C06FC" w:rsidP="00137F01">
      <w:r>
        <w:separator/>
      </w:r>
    </w:p>
  </w:endnote>
  <w:endnote w:type="continuationSeparator" w:id="0">
    <w:p w14:paraId="00BF074A" w14:textId="77777777" w:rsidR="008C06FC" w:rsidRDefault="008C06FC"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C08AB" w14:textId="77777777" w:rsidR="00937E5C" w:rsidRDefault="00937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540398"/>
      <w:docPartObj>
        <w:docPartGallery w:val="Page Numbers (Bottom of Page)"/>
        <w:docPartUnique/>
      </w:docPartObj>
    </w:sdtPr>
    <w:sdtEndPr>
      <w:rPr>
        <w:noProof/>
      </w:rPr>
    </w:sdtEndPr>
    <w:sdtContent>
      <w:p w14:paraId="717C0BD6" w14:textId="412878A1" w:rsidR="00A57181" w:rsidRDefault="00A57181">
        <w:pPr>
          <w:pStyle w:val="Footer"/>
          <w:jc w:val="center"/>
        </w:pPr>
        <w:r>
          <w:fldChar w:fldCharType="begin"/>
        </w:r>
        <w:r>
          <w:instrText xml:space="preserve"> PAGE   \* MERGEFORMAT </w:instrText>
        </w:r>
        <w:r>
          <w:fldChar w:fldCharType="separate"/>
        </w:r>
        <w:r w:rsidR="00CF2966">
          <w:rPr>
            <w:noProof/>
          </w:rPr>
          <w:t>1</w:t>
        </w:r>
        <w:r>
          <w:rPr>
            <w:noProof/>
          </w:rPr>
          <w:fldChar w:fldCharType="end"/>
        </w:r>
      </w:p>
    </w:sdtContent>
  </w:sdt>
  <w:p w14:paraId="183E44C5" w14:textId="77777777" w:rsidR="00304813" w:rsidRDefault="00304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4E360" w14:textId="77777777" w:rsidR="00937E5C" w:rsidRDefault="0093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C8D6C" w14:textId="77777777" w:rsidR="008C06FC" w:rsidRDefault="008C06FC" w:rsidP="00137F01">
      <w:r>
        <w:separator/>
      </w:r>
    </w:p>
  </w:footnote>
  <w:footnote w:type="continuationSeparator" w:id="0">
    <w:p w14:paraId="075740F9" w14:textId="77777777" w:rsidR="008C06FC" w:rsidRDefault="008C06FC" w:rsidP="00137F01">
      <w:r>
        <w:continuationSeparator/>
      </w:r>
    </w:p>
  </w:footnote>
  <w:footnote w:id="1">
    <w:p w14:paraId="045E2795" w14:textId="59B3E64F" w:rsidR="00955E78" w:rsidRDefault="00955E78">
      <w:pPr>
        <w:pStyle w:val="FootnoteText"/>
      </w:pPr>
      <w:r>
        <w:rPr>
          <w:rStyle w:val="FootnoteReference"/>
        </w:rPr>
        <w:footnoteRef/>
      </w:r>
      <w:r>
        <w:t xml:space="preserve"> </w:t>
      </w:r>
      <w:r w:rsidR="007A45D1" w:rsidRPr="007A45D1">
        <w:t>Gadījumā, ja Eiropas Parlaments un Padome vienojas par atšķirīgu prasību piemērošanu Padomes 1991. gada 21. maija Direktīvas 91/271/EEK par komunālo notekūdeņu attīrīšanu pārskatīšanas rezultātā, kritērija redakcija ir tehniski precizējama, iekļaujot aglomerāciju grupai ar ienākošo piesārņojuma slodzi cilvēkekvivalentos 10 000 – 100 000 piemērojamās prasības.</w:t>
      </w:r>
    </w:p>
  </w:footnote>
  <w:footnote w:id="2">
    <w:p w14:paraId="6C7858AE" w14:textId="77777777" w:rsidR="005453E0" w:rsidRPr="009753A6" w:rsidRDefault="005453E0" w:rsidP="005453E0">
      <w:pPr>
        <w:pStyle w:val="FootnoteText"/>
      </w:pPr>
      <w:r w:rsidRPr="005453E0">
        <w:rPr>
          <w:rStyle w:val="FootnoteReference"/>
          <w:color w:val="70AD47"/>
          <w:sz w:val="18"/>
          <w:szCs w:val="18"/>
          <w14:textFill>
            <w14:solidFill>
              <w14:srgbClr w14:val="70AD47">
                <w14:lumMod w14:val="75000"/>
              </w14:srgbClr>
            </w14:solidFill>
          </w14:textFill>
        </w:rPr>
        <w:footnoteRef/>
      </w:r>
      <w:r w:rsidRPr="0031661E">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3">
    <w:p w14:paraId="35B31849" w14:textId="77777777" w:rsidR="00716D40" w:rsidRPr="00F240D4" w:rsidRDefault="00716D40" w:rsidP="00716D40">
      <w:pPr>
        <w:pStyle w:val="FootnoteText"/>
      </w:pPr>
      <w:r w:rsidRPr="00640428">
        <w:rPr>
          <w:rStyle w:val="FootnoteReference"/>
        </w:rPr>
        <w:footnoteRef/>
      </w:r>
      <w:r w:rsidRPr="00251C26">
        <w:t xml:space="preserve"> Iegūtie rezultāti tiek noapaļoti līdz vienam ciparam aiz komata. Ja iegūtā aprēķina rezultātā otrais cipars aiz komata ir 5 vai vairāk, rezultātu noapaļo uz augšu, bet, ja rezultātā otrais cipars aiz komata ir 4 vai mazāk, rezultātu noapaļo uz leju (piemēram, rezultātu 4.52 noapaļo uz 4.5, bet rezultātu 4.36 noapaļo uz 4.4). </w:t>
      </w:r>
    </w:p>
  </w:footnote>
  <w:footnote w:id="4">
    <w:p w14:paraId="32B7753F" w14:textId="77777777" w:rsidR="00716D40" w:rsidRPr="003A215F" w:rsidRDefault="00716D40" w:rsidP="00716D40">
      <w:pPr>
        <w:pStyle w:val="FootnoteText"/>
      </w:pPr>
      <w:r w:rsidRPr="00F62130">
        <w:rPr>
          <w:rStyle w:val="FootnoteReference"/>
        </w:rPr>
        <w:footnoteRef/>
      </w:r>
      <w:r w:rsidRPr="00F62130">
        <w:t xml:space="preserve"> Ja iegūtā aprēķina rezultātā otrais cipars aiz komata ir 5 vai vairāk, rezultātu noapaļo uz augšu, bet, ja rezultātā otrais cipars aiz komata ir 4 vai mazāk, rezultātu noapaļo uz leju (piemēram, rezultātu 4.52 noapaļo uz 4.5, bet rezultātu 4.36 noapaļo uz 4.4).</w:t>
      </w:r>
    </w:p>
  </w:footnote>
  <w:footnote w:id="5">
    <w:p w14:paraId="176D7150" w14:textId="77777777" w:rsidR="00C1720B" w:rsidRPr="008163C0" w:rsidRDefault="00C1720B" w:rsidP="00C1720B">
      <w:pPr>
        <w:pStyle w:val="FootnoteText"/>
      </w:pPr>
      <w:r w:rsidRPr="00531F09">
        <w:rPr>
          <w:rStyle w:val="FootnoteReference"/>
        </w:rPr>
        <w:footnoteRef/>
      </w:r>
      <w:r w:rsidRPr="00531F09">
        <w:t xml:space="preserve"> Ja iegūtā aprēķina rezultātā otrais cipars aiz komata ir 5 vai vairāk, rezultātu noapaļo uz augšu, bet, ja rezultātā otrais cipars aiz komata ir 4 vai mazāk, rezultātu noapaļo uz leju (piemēram, rezultātu 4,52 noapaļo uz 4,5, bet rezultātu 4,36 noapaļo uz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6F8B9" w14:textId="77777777" w:rsidR="00937E5C" w:rsidRDefault="00937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4D089" w14:textId="7C20B738" w:rsidR="00304813" w:rsidRPr="00137F01" w:rsidRDefault="00C07910" w:rsidP="00911740">
    <w:pPr>
      <w:pStyle w:val="Header"/>
      <w:jc w:val="right"/>
      <w:rPr>
        <w:rFonts w:cs="Times New Roman"/>
        <w:i/>
        <w:szCs w:val="24"/>
      </w:rPr>
    </w:pPr>
    <w:sdt>
      <w:sdtPr>
        <w:rPr>
          <w:rFonts w:cs="Times New Roman"/>
          <w:i/>
          <w:szCs w:val="24"/>
        </w:rPr>
        <w:id w:val="133991113"/>
        <w:placeholder>
          <w:docPart w:val="DefaultPlaceholder_-1854013437"/>
        </w:placeholder>
        <w:date w:fullDate="2024-05-08T00:00:00Z">
          <w:dateFormat w:val="dd.MM.yyyy"/>
          <w:lid w:val="lv-LV"/>
          <w:storeMappedDataAs w:val="dateTime"/>
          <w:calendar w:val="gregorian"/>
        </w:date>
      </w:sdtPr>
      <w:sdtEndPr/>
      <w:sdtContent>
        <w:r w:rsidR="00937E5C">
          <w:rPr>
            <w:rFonts w:cs="Times New Roman"/>
            <w:i/>
            <w:szCs w:val="24"/>
          </w:rPr>
          <w:t>08.05.2024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1C0A8" w14:textId="77777777" w:rsidR="00937E5C" w:rsidRDefault="0093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97627"/>
    <w:multiLevelType w:val="hybridMultilevel"/>
    <w:tmpl w:val="0FD81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1"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13"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37717346">
    <w:abstractNumId w:val="6"/>
  </w:num>
  <w:num w:numId="2" w16cid:durableId="1198546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2845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240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963745">
    <w:abstractNumId w:val="10"/>
  </w:num>
  <w:num w:numId="6" w16cid:durableId="1464888948">
    <w:abstractNumId w:val="2"/>
  </w:num>
  <w:num w:numId="7" w16cid:durableId="403722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94561">
    <w:abstractNumId w:val="5"/>
  </w:num>
  <w:num w:numId="9" w16cid:durableId="2086371281">
    <w:abstractNumId w:val="7"/>
  </w:num>
  <w:num w:numId="10" w16cid:durableId="1521159615">
    <w:abstractNumId w:val="0"/>
  </w:num>
  <w:num w:numId="11" w16cid:durableId="618072046">
    <w:abstractNumId w:val="4"/>
  </w:num>
  <w:num w:numId="12" w16cid:durableId="356273959">
    <w:abstractNumId w:val="11"/>
  </w:num>
  <w:num w:numId="13" w16cid:durableId="1851748279">
    <w:abstractNumId w:val="8"/>
  </w:num>
  <w:num w:numId="14" w16cid:durableId="224685753">
    <w:abstractNumId w:val="13"/>
  </w:num>
  <w:num w:numId="15" w16cid:durableId="857425461">
    <w:abstractNumId w:val="12"/>
  </w:num>
  <w:num w:numId="16" w16cid:durableId="757946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11881"/>
    <w:rsid w:val="00014C6A"/>
    <w:rsid w:val="00023754"/>
    <w:rsid w:val="00027130"/>
    <w:rsid w:val="000504F5"/>
    <w:rsid w:val="000661A0"/>
    <w:rsid w:val="00074A92"/>
    <w:rsid w:val="000A5386"/>
    <w:rsid w:val="000D1CBC"/>
    <w:rsid w:val="000D5A87"/>
    <w:rsid w:val="000D7FC5"/>
    <w:rsid w:val="00107F7F"/>
    <w:rsid w:val="00126608"/>
    <w:rsid w:val="001270AF"/>
    <w:rsid w:val="00137F01"/>
    <w:rsid w:val="00160E33"/>
    <w:rsid w:val="001630A6"/>
    <w:rsid w:val="00177D5B"/>
    <w:rsid w:val="0018087D"/>
    <w:rsid w:val="001914F0"/>
    <w:rsid w:val="00194DD4"/>
    <w:rsid w:val="001A21B9"/>
    <w:rsid w:val="001C19E1"/>
    <w:rsid w:val="00200834"/>
    <w:rsid w:val="0020534D"/>
    <w:rsid w:val="00205CF0"/>
    <w:rsid w:val="00212BD9"/>
    <w:rsid w:val="00221F4C"/>
    <w:rsid w:val="00223262"/>
    <w:rsid w:val="00224280"/>
    <w:rsid w:val="00244150"/>
    <w:rsid w:val="002447A4"/>
    <w:rsid w:val="002741F4"/>
    <w:rsid w:val="00277449"/>
    <w:rsid w:val="00284BC9"/>
    <w:rsid w:val="002A6C2B"/>
    <w:rsid w:val="002D5582"/>
    <w:rsid w:val="002D72DB"/>
    <w:rsid w:val="002F1149"/>
    <w:rsid w:val="002F33E0"/>
    <w:rsid w:val="00300DB6"/>
    <w:rsid w:val="00303450"/>
    <w:rsid w:val="00304813"/>
    <w:rsid w:val="003111D6"/>
    <w:rsid w:val="00314F84"/>
    <w:rsid w:val="0031692E"/>
    <w:rsid w:val="00355284"/>
    <w:rsid w:val="00355433"/>
    <w:rsid w:val="0035600C"/>
    <w:rsid w:val="003642D1"/>
    <w:rsid w:val="0036463A"/>
    <w:rsid w:val="00371B61"/>
    <w:rsid w:val="00381775"/>
    <w:rsid w:val="00382B43"/>
    <w:rsid w:val="003921F7"/>
    <w:rsid w:val="00397029"/>
    <w:rsid w:val="003B51A5"/>
    <w:rsid w:val="003B626F"/>
    <w:rsid w:val="003F1043"/>
    <w:rsid w:val="003F16D6"/>
    <w:rsid w:val="003F426F"/>
    <w:rsid w:val="003F6B03"/>
    <w:rsid w:val="00420FE9"/>
    <w:rsid w:val="00430503"/>
    <w:rsid w:val="00434BF8"/>
    <w:rsid w:val="00462680"/>
    <w:rsid w:val="00464602"/>
    <w:rsid w:val="00465580"/>
    <w:rsid w:val="00484303"/>
    <w:rsid w:val="00486298"/>
    <w:rsid w:val="00494F21"/>
    <w:rsid w:val="004968D9"/>
    <w:rsid w:val="004B2233"/>
    <w:rsid w:val="004C2517"/>
    <w:rsid w:val="004C6D5A"/>
    <w:rsid w:val="004E4DFB"/>
    <w:rsid w:val="004E630D"/>
    <w:rsid w:val="004F4DE0"/>
    <w:rsid w:val="004F702F"/>
    <w:rsid w:val="00503907"/>
    <w:rsid w:val="00504C9D"/>
    <w:rsid w:val="00505091"/>
    <w:rsid w:val="0052678B"/>
    <w:rsid w:val="00531F09"/>
    <w:rsid w:val="0053479C"/>
    <w:rsid w:val="005347D3"/>
    <w:rsid w:val="005453E0"/>
    <w:rsid w:val="00566146"/>
    <w:rsid w:val="00583A5B"/>
    <w:rsid w:val="005A4EEE"/>
    <w:rsid w:val="005B13C5"/>
    <w:rsid w:val="005B71DA"/>
    <w:rsid w:val="005C60E7"/>
    <w:rsid w:val="005D0300"/>
    <w:rsid w:val="005D0A69"/>
    <w:rsid w:val="005D40F6"/>
    <w:rsid w:val="005E3424"/>
    <w:rsid w:val="005F3BE3"/>
    <w:rsid w:val="00604180"/>
    <w:rsid w:val="00604DB7"/>
    <w:rsid w:val="00614422"/>
    <w:rsid w:val="00621AA7"/>
    <w:rsid w:val="006376E7"/>
    <w:rsid w:val="00646E21"/>
    <w:rsid w:val="00650D7F"/>
    <w:rsid w:val="00665013"/>
    <w:rsid w:val="0066722E"/>
    <w:rsid w:val="006714F4"/>
    <w:rsid w:val="006855CB"/>
    <w:rsid w:val="00691775"/>
    <w:rsid w:val="006A3060"/>
    <w:rsid w:val="006B475D"/>
    <w:rsid w:val="006D295B"/>
    <w:rsid w:val="006F2332"/>
    <w:rsid w:val="006F60E8"/>
    <w:rsid w:val="00705ACE"/>
    <w:rsid w:val="00716D40"/>
    <w:rsid w:val="00742C3E"/>
    <w:rsid w:val="00750099"/>
    <w:rsid w:val="00780B84"/>
    <w:rsid w:val="007875AE"/>
    <w:rsid w:val="007878E2"/>
    <w:rsid w:val="007A45D1"/>
    <w:rsid w:val="007D332B"/>
    <w:rsid w:val="007D3587"/>
    <w:rsid w:val="0080003F"/>
    <w:rsid w:val="0081520F"/>
    <w:rsid w:val="0082399C"/>
    <w:rsid w:val="00836B3E"/>
    <w:rsid w:val="00850327"/>
    <w:rsid w:val="00853A52"/>
    <w:rsid w:val="0087245B"/>
    <w:rsid w:val="00885793"/>
    <w:rsid w:val="008929F2"/>
    <w:rsid w:val="008C06FC"/>
    <w:rsid w:val="008C1CEC"/>
    <w:rsid w:val="00937E5C"/>
    <w:rsid w:val="0095483D"/>
    <w:rsid w:val="00954A37"/>
    <w:rsid w:val="00955E78"/>
    <w:rsid w:val="00971D55"/>
    <w:rsid w:val="009874F3"/>
    <w:rsid w:val="009907EC"/>
    <w:rsid w:val="009A68CF"/>
    <w:rsid w:val="009B5A43"/>
    <w:rsid w:val="009D1340"/>
    <w:rsid w:val="009D2E1B"/>
    <w:rsid w:val="009D77A7"/>
    <w:rsid w:val="009E69BB"/>
    <w:rsid w:val="00A0772E"/>
    <w:rsid w:val="00A30B60"/>
    <w:rsid w:val="00A45C2E"/>
    <w:rsid w:val="00A50215"/>
    <w:rsid w:val="00A54852"/>
    <w:rsid w:val="00A57181"/>
    <w:rsid w:val="00A66F15"/>
    <w:rsid w:val="00A71C4D"/>
    <w:rsid w:val="00A75F28"/>
    <w:rsid w:val="00A829CF"/>
    <w:rsid w:val="00AB0A7A"/>
    <w:rsid w:val="00AB0D0F"/>
    <w:rsid w:val="00AF4D89"/>
    <w:rsid w:val="00B00DFF"/>
    <w:rsid w:val="00B14C15"/>
    <w:rsid w:val="00B2403B"/>
    <w:rsid w:val="00B55104"/>
    <w:rsid w:val="00B6765D"/>
    <w:rsid w:val="00B73246"/>
    <w:rsid w:val="00B75B6C"/>
    <w:rsid w:val="00B80488"/>
    <w:rsid w:val="00B84D06"/>
    <w:rsid w:val="00B96861"/>
    <w:rsid w:val="00BA258C"/>
    <w:rsid w:val="00BA461D"/>
    <w:rsid w:val="00BA7BD4"/>
    <w:rsid w:val="00BB3DE7"/>
    <w:rsid w:val="00BB679E"/>
    <w:rsid w:val="00BD36CD"/>
    <w:rsid w:val="00C07910"/>
    <w:rsid w:val="00C07D57"/>
    <w:rsid w:val="00C1720B"/>
    <w:rsid w:val="00C23A4C"/>
    <w:rsid w:val="00C508F8"/>
    <w:rsid w:val="00C64F57"/>
    <w:rsid w:val="00C7103C"/>
    <w:rsid w:val="00C91453"/>
    <w:rsid w:val="00CC12E5"/>
    <w:rsid w:val="00CD4AF1"/>
    <w:rsid w:val="00CD52AF"/>
    <w:rsid w:val="00CD5ABA"/>
    <w:rsid w:val="00CE0989"/>
    <w:rsid w:val="00CF2966"/>
    <w:rsid w:val="00D04AE7"/>
    <w:rsid w:val="00D07DFB"/>
    <w:rsid w:val="00D118B5"/>
    <w:rsid w:val="00D144E1"/>
    <w:rsid w:val="00D3630A"/>
    <w:rsid w:val="00D37EFE"/>
    <w:rsid w:val="00D445AA"/>
    <w:rsid w:val="00D44FFA"/>
    <w:rsid w:val="00D51365"/>
    <w:rsid w:val="00D51C75"/>
    <w:rsid w:val="00D60AED"/>
    <w:rsid w:val="00D67DDF"/>
    <w:rsid w:val="00D72306"/>
    <w:rsid w:val="00D80E86"/>
    <w:rsid w:val="00DB21C0"/>
    <w:rsid w:val="00DC0F99"/>
    <w:rsid w:val="00DD17C4"/>
    <w:rsid w:val="00DD5F4A"/>
    <w:rsid w:val="00E17F63"/>
    <w:rsid w:val="00E404AA"/>
    <w:rsid w:val="00E45C2F"/>
    <w:rsid w:val="00E50A19"/>
    <w:rsid w:val="00E5165A"/>
    <w:rsid w:val="00E546D0"/>
    <w:rsid w:val="00E64301"/>
    <w:rsid w:val="00E76BF9"/>
    <w:rsid w:val="00EA7ED1"/>
    <w:rsid w:val="00EB5428"/>
    <w:rsid w:val="00EC7BF2"/>
    <w:rsid w:val="00EE44D6"/>
    <w:rsid w:val="00F054B2"/>
    <w:rsid w:val="00F163DA"/>
    <w:rsid w:val="00F22F11"/>
    <w:rsid w:val="00F674E5"/>
    <w:rsid w:val="00F84EB4"/>
    <w:rsid w:val="00F95150"/>
    <w:rsid w:val="00FA38D3"/>
    <w:rsid w:val="00FB0D90"/>
    <w:rsid w:val="00FE525A"/>
    <w:rsid w:val="00FE69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Colorful List - Accent 12,Dot pt,F5 List Paragraph,No Spacing1,List Paragraph Char Char Char,Indicator Text,Colorful List - Accent 11,Reference list"/>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Colorful List - Accent 12 Char,Dot pt Char,F5 List Paragraph Char,No Spacing1 Char,Indicator Text Char"/>
    <w:basedOn w:val="DefaultParagraphFont"/>
    <w:link w:val="ListParagraph"/>
    <w:uiPriority w:val="34"/>
    <w:qFormat/>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character" w:customStyle="1" w:styleId="ui-provider">
    <w:name w:val="ui-provider"/>
    <w:basedOn w:val="DefaultParagraphFont"/>
    <w:rsid w:val="001914F0"/>
  </w:style>
  <w:style w:type="paragraph" w:styleId="EndnoteText">
    <w:name w:val="endnote text"/>
    <w:basedOn w:val="Normal"/>
    <w:link w:val="EndnoteTextChar"/>
    <w:uiPriority w:val="99"/>
    <w:semiHidden/>
    <w:unhideWhenUsed/>
    <w:rsid w:val="00484303"/>
    <w:rPr>
      <w:sz w:val="20"/>
      <w:szCs w:val="20"/>
    </w:rPr>
  </w:style>
  <w:style w:type="character" w:customStyle="1" w:styleId="EndnoteTextChar">
    <w:name w:val="Endnote Text Char"/>
    <w:basedOn w:val="DefaultParagraphFont"/>
    <w:link w:val="EndnoteText"/>
    <w:uiPriority w:val="99"/>
    <w:semiHidden/>
    <w:rsid w:val="00484303"/>
    <w:rPr>
      <w:rFonts w:eastAsia="SimSun" w:cs="F"/>
      <w:kern w:val="3"/>
      <w:sz w:val="20"/>
      <w:szCs w:val="20"/>
      <w14:ligatures w14:val="none"/>
    </w:rPr>
  </w:style>
  <w:style w:type="character" w:styleId="EndnoteReference">
    <w:name w:val="endnote reference"/>
    <w:basedOn w:val="DefaultParagraphFont"/>
    <w:uiPriority w:val="99"/>
    <w:semiHidden/>
    <w:unhideWhenUsed/>
    <w:rsid w:val="00484303"/>
    <w:rPr>
      <w:vertAlign w:val="superscript"/>
    </w:rPr>
  </w:style>
  <w:style w:type="paragraph" w:styleId="FootnoteText">
    <w:name w:val="footnote text"/>
    <w:basedOn w:val="Normal"/>
    <w:link w:val="FootnoteTextChar"/>
    <w:uiPriority w:val="99"/>
    <w:semiHidden/>
    <w:unhideWhenUsed/>
    <w:rsid w:val="00955E78"/>
    <w:rPr>
      <w:sz w:val="20"/>
      <w:szCs w:val="20"/>
    </w:rPr>
  </w:style>
  <w:style w:type="character" w:customStyle="1" w:styleId="FootnoteTextChar">
    <w:name w:val="Footnote Text Char"/>
    <w:basedOn w:val="DefaultParagraphFont"/>
    <w:link w:val="FootnoteText"/>
    <w:uiPriority w:val="99"/>
    <w:semiHidden/>
    <w:rsid w:val="00955E78"/>
    <w:rPr>
      <w:rFonts w:eastAsia="SimSun" w:cs="F"/>
      <w:kern w:val="3"/>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95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0820D3"/>
    <w:rsid w:val="000D6D64"/>
    <w:rsid w:val="001375A0"/>
    <w:rsid w:val="00566146"/>
    <w:rsid w:val="00616A2D"/>
    <w:rsid w:val="00646E21"/>
    <w:rsid w:val="00793170"/>
    <w:rsid w:val="00994E0D"/>
    <w:rsid w:val="00DA51A3"/>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D74C-4721-435B-94B6-9832E8C00CE9}">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79</TotalTime>
  <Pages>10</Pages>
  <Words>13257</Words>
  <Characters>7557</Characters>
  <Application>Microsoft Office Word</Application>
  <DocSecurity>0</DocSecurity>
  <Lines>62</Lines>
  <Paragraphs>41</Paragraphs>
  <ScaleCrop>false</ScaleCrop>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47</cp:revision>
  <dcterms:created xsi:type="dcterms:W3CDTF">2024-04-26T10:39:00Z</dcterms:created>
  <dcterms:modified xsi:type="dcterms:W3CDTF">2024-05-10T10:36:00Z</dcterms:modified>
</cp:coreProperties>
</file>