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6DAA" w14:textId="77777777" w:rsidR="00047808" w:rsidRPr="00047808" w:rsidRDefault="00047808" w:rsidP="00047808">
      <w:pPr>
        <w:jc w:val="center"/>
        <w:rPr>
          <w:rFonts w:ascii="Times New Roman" w:eastAsia="Calibri" w:hAnsi="Times New Roman" w:cs="Times New Roman"/>
          <w:b/>
          <w:bCs/>
          <w:sz w:val="24"/>
          <w:szCs w:val="24"/>
          <w:lang w:val="lv-LV"/>
        </w:rPr>
      </w:pPr>
      <w:r w:rsidRPr="00047808">
        <w:rPr>
          <w:rFonts w:ascii="Times New Roman" w:eastAsia="Calibri" w:hAnsi="Times New Roman" w:cs="Times New Roman"/>
          <w:b/>
          <w:bCs/>
          <w:sz w:val="24"/>
          <w:szCs w:val="24"/>
          <w:lang w:val="lv-LV"/>
        </w:rPr>
        <w:t>KOPSAVILKUMS</w:t>
      </w:r>
      <w:r w:rsidRPr="00047808">
        <w:rPr>
          <w:rFonts w:ascii="Times New Roman" w:eastAsia="Calibri" w:hAnsi="Times New Roman" w:cs="Times New Roman"/>
          <w:b/>
          <w:bCs/>
          <w:sz w:val="24"/>
          <w:szCs w:val="24"/>
          <w:vertAlign w:val="superscript"/>
          <w:lang w:val="lv-LV"/>
        </w:rPr>
        <w:footnoteReference w:id="1"/>
      </w:r>
    </w:p>
    <w:p w14:paraId="764CB572" w14:textId="5565A94A" w:rsidR="00047808" w:rsidRPr="00047808" w:rsidRDefault="00047808" w:rsidP="00047808">
      <w:pPr>
        <w:jc w:val="center"/>
        <w:rPr>
          <w:rFonts w:ascii="Times New Roman" w:eastAsia="Calibri" w:hAnsi="Times New Roman" w:cs="Times New Roman"/>
          <w:b/>
          <w:bCs/>
          <w:sz w:val="24"/>
          <w:szCs w:val="24"/>
          <w:lang w:val="lv-LV"/>
        </w:rPr>
      </w:pPr>
      <w:r w:rsidRPr="00047808">
        <w:rPr>
          <w:rFonts w:ascii="Times New Roman" w:eastAsia="Calibri" w:hAnsi="Times New Roman" w:cs="Times New Roman"/>
          <w:b/>
          <w:bCs/>
          <w:sz w:val="24"/>
          <w:szCs w:val="24"/>
          <w:lang w:val="lv-LV"/>
        </w:rPr>
        <w:t xml:space="preserve">par </w:t>
      </w:r>
      <w:r w:rsidR="003C4EE8" w:rsidRPr="003C4EE8">
        <w:rPr>
          <w:rFonts w:ascii="Times New Roman" w:eastAsia="Calibri" w:hAnsi="Times New Roman" w:cs="Times New Roman"/>
          <w:b/>
          <w:bCs/>
          <w:sz w:val="24"/>
          <w:szCs w:val="24"/>
          <w:lang w:val="lv-LV"/>
        </w:rPr>
        <w:t xml:space="preserve">3.1.1.1.pasākuma “Dzelzceļa transporta attīstība un energoefektivitātes uzlabošana sabiedriskajos pasažieru pārvadājumos” un 3.1.1.3.pasākuma “Eiropas transporta tīklā esošās dzelzceļa infrastruktūras attīstība” </w:t>
      </w:r>
      <w:r w:rsidRPr="00047808">
        <w:rPr>
          <w:rFonts w:ascii="Times New Roman" w:eastAsia="Calibri" w:hAnsi="Times New Roman" w:cs="Times New Roman"/>
          <w:b/>
          <w:bCs/>
          <w:sz w:val="24"/>
          <w:szCs w:val="24"/>
          <w:lang w:val="lv-LV"/>
        </w:rPr>
        <w:t>projekt</w:t>
      </w:r>
      <w:r w:rsidR="003C4EE8">
        <w:rPr>
          <w:rFonts w:ascii="Times New Roman" w:eastAsia="Calibri" w:hAnsi="Times New Roman" w:cs="Times New Roman"/>
          <w:b/>
          <w:bCs/>
          <w:sz w:val="24"/>
          <w:szCs w:val="24"/>
          <w:lang w:val="lv-LV"/>
        </w:rPr>
        <w:t>u</w:t>
      </w:r>
      <w:r w:rsidRPr="00047808">
        <w:rPr>
          <w:rFonts w:ascii="Times New Roman" w:eastAsia="Calibri" w:hAnsi="Times New Roman" w:cs="Times New Roman"/>
          <w:b/>
          <w:bCs/>
          <w:sz w:val="24"/>
          <w:szCs w:val="24"/>
          <w:lang w:val="lv-LV"/>
        </w:rPr>
        <w:t xml:space="preserve"> iesnieguma vērtēšanas kritēriju komplekt</w:t>
      </w:r>
      <w:r w:rsidR="003C4EE8">
        <w:rPr>
          <w:rFonts w:ascii="Times New Roman" w:eastAsia="Calibri" w:hAnsi="Times New Roman" w:cs="Times New Roman"/>
          <w:b/>
          <w:bCs/>
          <w:sz w:val="24"/>
          <w:szCs w:val="24"/>
          <w:lang w:val="lv-LV"/>
        </w:rPr>
        <w:t xml:space="preserve">u </w:t>
      </w:r>
      <w:r w:rsidR="00F1025B">
        <w:rPr>
          <w:rFonts w:ascii="Times New Roman" w:eastAsia="Calibri" w:hAnsi="Times New Roman" w:cs="Times New Roman"/>
          <w:b/>
          <w:bCs/>
          <w:sz w:val="24"/>
          <w:szCs w:val="24"/>
          <w:lang w:val="lv-LV"/>
        </w:rPr>
        <w:t xml:space="preserve"> </w:t>
      </w:r>
    </w:p>
    <w:p w14:paraId="77D9DA6F" w14:textId="77777777" w:rsidR="00047808" w:rsidRPr="00047808" w:rsidRDefault="00047808" w:rsidP="00047808">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Style w:val="GridTable1Light-Accent11"/>
        <w:tblW w:w="8505" w:type="dxa"/>
        <w:tblLook w:val="04A0" w:firstRow="1" w:lastRow="0" w:firstColumn="1" w:lastColumn="0" w:noHBand="0" w:noVBand="1"/>
      </w:tblPr>
      <w:tblGrid>
        <w:gridCol w:w="3522"/>
        <w:gridCol w:w="4983"/>
      </w:tblGrid>
      <w:tr w:rsidR="00047808" w:rsidRPr="00047808" w14:paraId="713F8D2A" w14:textId="77777777" w:rsidTr="00893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Pr>
          <w:p w14:paraId="7B9DD69F" w14:textId="77777777" w:rsidR="00047808" w:rsidRPr="00047808" w:rsidRDefault="00047808" w:rsidP="00047808">
            <w:pPr>
              <w:autoSpaceDE w:val="0"/>
              <w:autoSpaceDN w:val="0"/>
              <w:jc w:val="center"/>
              <w:rPr>
                <w:rFonts w:eastAsia="Times New Roman"/>
                <w:color w:val="000000"/>
                <w:lang w:eastAsia="lv-LV"/>
              </w:rPr>
            </w:pPr>
            <w:r w:rsidRPr="00047808">
              <w:rPr>
                <w:rFonts w:eastAsia="Times New Roman"/>
                <w:color w:val="000000"/>
                <w:lang w:eastAsia="lv-LV"/>
              </w:rPr>
              <w:t>Kopsavilkumā iekļaujamā informācija</w:t>
            </w:r>
          </w:p>
        </w:tc>
      </w:tr>
      <w:tr w:rsidR="001F35F8" w:rsidRPr="004D1C07" w14:paraId="343E4A36" w14:textId="77777777" w:rsidTr="00893BD3">
        <w:tc>
          <w:tcPr>
            <w:cnfStyle w:val="001000000000" w:firstRow="0" w:lastRow="0" w:firstColumn="1" w:lastColumn="0" w:oddVBand="0" w:evenVBand="0" w:oddHBand="0" w:evenHBand="0" w:firstRowFirstColumn="0" w:firstRowLastColumn="0" w:lastRowFirstColumn="0" w:lastRowLastColumn="0"/>
            <w:tcW w:w="4444" w:type="dxa"/>
          </w:tcPr>
          <w:p w14:paraId="2E178AC1" w14:textId="77777777" w:rsidR="001F35F8" w:rsidRPr="00047808" w:rsidRDefault="001F35F8" w:rsidP="001F35F8">
            <w:pPr>
              <w:numPr>
                <w:ilvl w:val="0"/>
                <w:numId w:val="1"/>
              </w:numPr>
              <w:autoSpaceDE w:val="0"/>
              <w:autoSpaceDN w:val="0"/>
              <w:ind w:left="453" w:hanging="425"/>
              <w:jc w:val="both"/>
              <w:rPr>
                <w:rFonts w:eastAsia="Times New Roman"/>
                <w:color w:val="000000"/>
                <w:lang w:eastAsia="lv-LV"/>
              </w:rPr>
            </w:pPr>
            <w:r w:rsidRPr="00047808">
              <w:rPr>
                <w:rFonts w:eastAsia="Times New Roman"/>
                <w:color w:val="000000"/>
                <w:lang w:eastAsia="lv-LV"/>
              </w:rPr>
              <w:t xml:space="preserve">SAM numurs un nosaukums, tā </w:t>
            </w:r>
            <w:bookmarkStart w:id="0" w:name="_Hlk125399647"/>
            <w:r w:rsidRPr="00047808">
              <w:rPr>
                <w:rFonts w:eastAsia="Times New Roman"/>
                <w:color w:val="000000"/>
                <w:lang w:eastAsia="lv-LV"/>
              </w:rPr>
              <w:t>pasākuma numurs un nosaukums (ja attiecināms) vai atlases kārtas numurs (ja attiecināms)</w:t>
            </w:r>
            <w:bookmarkEnd w:id="0"/>
            <w:r w:rsidRPr="00047808">
              <w:rPr>
                <w:rFonts w:eastAsia="Times New Roman"/>
                <w:color w:val="000000"/>
                <w:lang w:eastAsia="lv-LV"/>
              </w:rPr>
              <w:t>;</w:t>
            </w:r>
          </w:p>
        </w:tc>
        <w:tc>
          <w:tcPr>
            <w:tcW w:w="4061" w:type="dxa"/>
          </w:tcPr>
          <w:p w14:paraId="0E71481A" w14:textId="77777777" w:rsidR="001F35F8" w:rsidRDefault="003C4EE8" w:rsidP="00FE5354">
            <w:pPr>
              <w:tabs>
                <w:tab w:val="left" w:pos="282"/>
              </w:tabs>
              <w:jc w:val="both"/>
              <w:cnfStyle w:val="000000000000" w:firstRow="0" w:lastRow="0" w:firstColumn="0" w:lastColumn="0" w:oddVBand="0" w:evenVBand="0" w:oddHBand="0" w:evenHBand="0" w:firstRowFirstColumn="0" w:firstRowLastColumn="0" w:lastRowFirstColumn="0" w:lastRowLastColumn="0"/>
              <w:rPr>
                <w:rFonts w:eastAsia="Times New Roman"/>
                <w:color w:val="000000"/>
                <w:lang w:eastAsia="lv-LV"/>
              </w:rPr>
            </w:pPr>
            <w:r w:rsidRPr="003C4EE8">
              <w:rPr>
                <w:rFonts w:eastAsia="Times New Roman"/>
                <w:color w:val="000000"/>
                <w:lang w:eastAsia="lv-LV"/>
              </w:rPr>
              <w:t>3.1.1.1.pasākums “Dzelzceļa transporta attīstība un energoefektivitātes uzlabošana sabiedriskajos pasažieru pārvadājumos” un 3.1.1.3.pasākum</w:t>
            </w:r>
            <w:r>
              <w:rPr>
                <w:rFonts w:eastAsia="Times New Roman"/>
                <w:color w:val="000000"/>
                <w:lang w:eastAsia="lv-LV"/>
              </w:rPr>
              <w:t>s</w:t>
            </w:r>
            <w:r w:rsidRPr="003C4EE8">
              <w:rPr>
                <w:rFonts w:eastAsia="Times New Roman"/>
                <w:color w:val="000000"/>
                <w:lang w:eastAsia="lv-LV"/>
              </w:rPr>
              <w:t xml:space="preserve"> “Eiropas transporta tīklā esošās dzelzceļa infrastruktūras attīstība</w:t>
            </w:r>
            <w:r>
              <w:rPr>
                <w:rFonts w:eastAsia="Times New Roman"/>
                <w:color w:val="000000"/>
                <w:lang w:eastAsia="lv-LV"/>
              </w:rPr>
              <w:t>”</w:t>
            </w:r>
            <w:r w:rsidRPr="003C4EE8">
              <w:rPr>
                <w:rFonts w:eastAsia="Times New Roman"/>
                <w:color w:val="000000"/>
                <w:lang w:eastAsia="lv-LV"/>
              </w:rPr>
              <w:t xml:space="preserve"> tiek īstenots divu projektu iesniegumu atlases kārtu ietvaros:</w:t>
            </w:r>
            <w:r w:rsidRPr="003C4EE8">
              <w:rPr>
                <w:rFonts w:eastAsia="Times New Roman"/>
                <w:color w:val="000000"/>
                <w:lang w:eastAsia="lv-LV"/>
              </w:rPr>
              <w:br/>
            </w:r>
            <w:r w:rsidRPr="003C4EE8">
              <w:rPr>
                <w:rFonts w:eastAsia="Times New Roman"/>
                <w:color w:val="000000"/>
                <w:lang w:eastAsia="lv-LV"/>
              </w:rPr>
              <w:br/>
              <w:t>1</w:t>
            </w:r>
            <w:r w:rsidRPr="003C4EE8">
              <w:rPr>
                <w:rFonts w:eastAsia="Times New Roman"/>
                <w:color w:val="000000"/>
                <w:u w:val="single"/>
                <w:lang w:eastAsia="lv-LV"/>
              </w:rPr>
              <w:t>) pirmās atlases kārtas ietvaros</w:t>
            </w:r>
            <w:r w:rsidRPr="003C4EE8">
              <w:rPr>
                <w:rFonts w:eastAsia="Times New Roman"/>
                <w:color w:val="000000"/>
                <w:lang w:eastAsia="lv-LV"/>
              </w:rPr>
              <w:t xml:space="preserve"> tiek īstenoti Eiropas Savienības struktūrfondu un Kohēzijas fonda 2014. – 2020. gada plānošanas perioda darbības programmas „Izaugsme un nodarbinātība” 6.2.1. specifiskā atbalsta mērķa "Nodrošināt konkurētspējīgu un videi draudzīgu TEN-T dzelzceļa tīklu, veicinot tā drošību, kvalitāti un kapacitāti" 6.2.1.2. pasākuma "Dzelzceļa infrastruktūras modernizācija un izbūve" posmotie projekti Nr.6.2.1.2/21/I/001 “Dzelzceļa pasažieru infrastruktūras modernizācija” un Nr.6.2.1.2/22/I/002 “Dzelzceļa infrastruktūras modernizācija vilcienu kustības ātruma paaugstināšanai” (turpmāk- pirmā atlases kārta);</w:t>
            </w:r>
            <w:r w:rsidRPr="003C4EE8">
              <w:rPr>
                <w:rFonts w:eastAsia="Times New Roman"/>
                <w:color w:val="000000"/>
                <w:lang w:eastAsia="lv-LV"/>
              </w:rPr>
              <w:br/>
              <w:t>2) </w:t>
            </w:r>
            <w:r w:rsidRPr="003C4EE8">
              <w:rPr>
                <w:rFonts w:eastAsia="Times New Roman"/>
                <w:color w:val="000000"/>
                <w:u w:val="single"/>
                <w:lang w:eastAsia="lv-LV"/>
              </w:rPr>
              <w:t>otrās atlases kārtas ietvaros</w:t>
            </w:r>
            <w:r w:rsidRPr="003C4EE8">
              <w:rPr>
                <w:rFonts w:eastAsia="Times New Roman"/>
                <w:color w:val="000000"/>
                <w:lang w:eastAsia="lv-LV"/>
              </w:rPr>
              <w:t xml:space="preserve"> tiek īstenoti Eiropas Savienības kohēzijas politikas programmas 2021.–2027.gadam 3.1.1.1. un 3.1.1.3.pasākumu projekti (turpmāk- otrā atlases kārta).</w:t>
            </w:r>
          </w:p>
          <w:p w14:paraId="5832E9C0" w14:textId="375B10E1" w:rsidR="00756FEA" w:rsidRPr="00FE5354" w:rsidRDefault="00756FEA" w:rsidP="00FE5354">
            <w:pPr>
              <w:tabs>
                <w:tab w:val="left" w:pos="282"/>
              </w:tabs>
              <w:jc w:val="both"/>
              <w:cnfStyle w:val="000000000000" w:firstRow="0" w:lastRow="0" w:firstColumn="0" w:lastColumn="0" w:oddVBand="0" w:evenVBand="0" w:oddHBand="0" w:evenHBand="0" w:firstRowFirstColumn="0" w:firstRowLastColumn="0" w:lastRowFirstColumn="0" w:lastRowLastColumn="0"/>
              <w:rPr>
                <w:b/>
                <w:bCs/>
              </w:rPr>
            </w:pPr>
          </w:p>
        </w:tc>
      </w:tr>
      <w:tr w:rsidR="001F35F8" w:rsidRPr="00047808" w14:paraId="14CB09C3" w14:textId="77777777" w:rsidTr="00893BD3">
        <w:tc>
          <w:tcPr>
            <w:cnfStyle w:val="001000000000" w:firstRow="0" w:lastRow="0" w:firstColumn="1" w:lastColumn="0" w:oddVBand="0" w:evenVBand="0" w:oddHBand="0" w:evenHBand="0" w:firstRowFirstColumn="0" w:firstRowLastColumn="0" w:lastRowFirstColumn="0" w:lastRowLastColumn="0"/>
            <w:tcW w:w="4444" w:type="dxa"/>
          </w:tcPr>
          <w:p w14:paraId="54B1BCD4" w14:textId="77777777" w:rsidR="001F35F8" w:rsidRPr="00047808" w:rsidRDefault="001F35F8" w:rsidP="001F35F8">
            <w:pPr>
              <w:numPr>
                <w:ilvl w:val="0"/>
                <w:numId w:val="1"/>
              </w:numPr>
              <w:autoSpaceDE w:val="0"/>
              <w:autoSpaceDN w:val="0"/>
              <w:ind w:left="453" w:hanging="425"/>
              <w:jc w:val="both"/>
              <w:rPr>
                <w:rFonts w:eastAsia="Times New Roman"/>
                <w:color w:val="000000"/>
                <w:lang w:eastAsia="lv-LV"/>
              </w:rPr>
            </w:pPr>
            <w:r w:rsidRPr="00047808">
              <w:rPr>
                <w:rFonts w:eastAsia="Times New Roman"/>
                <w:color w:val="000000"/>
                <w:lang w:eastAsia="lv-LV"/>
              </w:rPr>
              <w:t>projektu atlases veids (ierobežota projektu iesniegumu atlase/ atklāta projektu iesniegumu atlase);</w:t>
            </w:r>
          </w:p>
        </w:tc>
        <w:tc>
          <w:tcPr>
            <w:tcW w:w="4061" w:type="dxa"/>
          </w:tcPr>
          <w:p w14:paraId="41A5E83B" w14:textId="58BC98AB" w:rsidR="001F35F8" w:rsidRPr="00047808" w:rsidRDefault="001F35F8" w:rsidP="001F35F8">
            <w:pPr>
              <w:autoSpaceDE w:val="0"/>
              <w:autoSpaceDN w:val="0"/>
              <w:jc w:val="both"/>
              <w:cnfStyle w:val="000000000000" w:firstRow="0" w:lastRow="0" w:firstColumn="0" w:lastColumn="0" w:oddVBand="0" w:evenVBand="0" w:oddHBand="0" w:evenHBand="0" w:firstRowFirstColumn="0" w:firstRowLastColumn="0" w:lastRowFirstColumn="0" w:lastRowLastColumn="0"/>
              <w:rPr>
                <w:rFonts w:eastAsia="Times New Roman"/>
                <w:color w:val="000000"/>
                <w:lang w:eastAsia="lv-LV"/>
              </w:rPr>
            </w:pPr>
            <w:r w:rsidRPr="00047808">
              <w:rPr>
                <w:rFonts w:eastAsia="Times New Roman"/>
                <w:color w:val="000000"/>
                <w:lang w:eastAsia="lv-LV"/>
              </w:rPr>
              <w:t>Ierobežota projektu iesniegumu atlase</w:t>
            </w:r>
            <w:r>
              <w:rPr>
                <w:rFonts w:eastAsia="Times New Roman"/>
                <w:color w:val="000000"/>
                <w:lang w:eastAsia="lv-LV"/>
              </w:rPr>
              <w:t>.</w:t>
            </w:r>
          </w:p>
        </w:tc>
      </w:tr>
      <w:tr w:rsidR="001F35F8" w:rsidRPr="004D1C07" w14:paraId="524E1006" w14:textId="77777777" w:rsidTr="00893BD3">
        <w:tc>
          <w:tcPr>
            <w:cnfStyle w:val="001000000000" w:firstRow="0" w:lastRow="0" w:firstColumn="1" w:lastColumn="0" w:oddVBand="0" w:evenVBand="0" w:oddHBand="0" w:evenHBand="0" w:firstRowFirstColumn="0" w:firstRowLastColumn="0" w:lastRowFirstColumn="0" w:lastRowLastColumn="0"/>
            <w:tcW w:w="4444" w:type="dxa"/>
          </w:tcPr>
          <w:p w14:paraId="4C4227A6" w14:textId="77777777" w:rsidR="001F35F8" w:rsidRPr="00047808" w:rsidRDefault="001F35F8" w:rsidP="001F35F8">
            <w:pPr>
              <w:numPr>
                <w:ilvl w:val="0"/>
                <w:numId w:val="1"/>
              </w:numPr>
              <w:autoSpaceDE w:val="0"/>
              <w:autoSpaceDN w:val="0"/>
              <w:ind w:left="453" w:hanging="425"/>
              <w:jc w:val="both"/>
              <w:rPr>
                <w:rFonts w:eastAsia="Times New Roman"/>
                <w:color w:val="000000"/>
                <w:lang w:eastAsia="lv-LV"/>
              </w:rPr>
            </w:pPr>
            <w:r w:rsidRPr="00047808">
              <w:rPr>
                <w:rFonts w:eastAsia="Times New Roman"/>
                <w:color w:val="000000"/>
                <w:lang w:eastAsia="lv-LV"/>
              </w:rPr>
              <w:t xml:space="preserve">plānotais finansējuma saņēmējs/i (ierobežotas projektu iesniegumu atlases ietvaros), plānotais finansējuma saņēmēju loks (atklātas projektu </w:t>
            </w:r>
            <w:r w:rsidRPr="00047808">
              <w:rPr>
                <w:rFonts w:eastAsia="Times New Roman"/>
                <w:color w:val="000000"/>
                <w:lang w:eastAsia="lv-LV"/>
              </w:rPr>
              <w:lastRenderedPageBreak/>
              <w:t xml:space="preserve">iesniegumu atlases ietvaros), kā arī plānotie finansējuma gala saņēmēji, sadarbības partneri (ja attiecināms),  </w:t>
            </w:r>
          </w:p>
        </w:tc>
        <w:tc>
          <w:tcPr>
            <w:tcW w:w="4061" w:type="dxa"/>
          </w:tcPr>
          <w:p w14:paraId="6329B693" w14:textId="06BEEF7A" w:rsidR="001F35F8" w:rsidRPr="00047808" w:rsidRDefault="001F35F8" w:rsidP="001F35F8">
            <w:pPr>
              <w:autoSpaceDE w:val="0"/>
              <w:autoSpaceDN w:val="0"/>
              <w:jc w:val="both"/>
              <w:cnfStyle w:val="000000000000" w:firstRow="0" w:lastRow="0" w:firstColumn="0" w:lastColumn="0" w:oddVBand="0" w:evenVBand="0" w:oddHBand="0" w:evenHBand="0" w:firstRowFirstColumn="0" w:firstRowLastColumn="0" w:lastRowFirstColumn="0" w:lastRowLastColumn="0"/>
              <w:rPr>
                <w:rFonts w:eastAsia="Times New Roman"/>
                <w:color w:val="000000"/>
                <w:lang w:eastAsia="lv-LV"/>
              </w:rPr>
            </w:pPr>
            <w:r>
              <w:rPr>
                <w:rFonts w:eastAsia="Times New Roman"/>
                <w:color w:val="000000"/>
                <w:lang w:eastAsia="lv-LV"/>
              </w:rPr>
              <w:lastRenderedPageBreak/>
              <w:t xml:space="preserve">VAS “Latvijas dzelzceļš” </w:t>
            </w:r>
          </w:p>
        </w:tc>
      </w:tr>
      <w:tr w:rsidR="001F35F8" w:rsidRPr="00047808" w14:paraId="0BFBD53C" w14:textId="77777777" w:rsidTr="00893BD3">
        <w:tc>
          <w:tcPr>
            <w:cnfStyle w:val="001000000000" w:firstRow="0" w:lastRow="0" w:firstColumn="1" w:lastColumn="0" w:oddVBand="0" w:evenVBand="0" w:oddHBand="0" w:evenHBand="0" w:firstRowFirstColumn="0" w:firstRowLastColumn="0" w:lastRowFirstColumn="0" w:lastRowLastColumn="0"/>
            <w:tcW w:w="4444" w:type="dxa"/>
          </w:tcPr>
          <w:p w14:paraId="17C9A23B" w14:textId="77777777" w:rsidR="001F35F8" w:rsidRPr="00047808" w:rsidRDefault="001F35F8" w:rsidP="001F35F8">
            <w:pPr>
              <w:numPr>
                <w:ilvl w:val="0"/>
                <w:numId w:val="1"/>
              </w:numPr>
              <w:autoSpaceDE w:val="0"/>
              <w:autoSpaceDN w:val="0"/>
              <w:ind w:left="453" w:hanging="425"/>
              <w:jc w:val="both"/>
              <w:rPr>
                <w:rFonts w:eastAsia="Times New Roman"/>
                <w:color w:val="000000"/>
                <w:lang w:eastAsia="lv-LV"/>
              </w:rPr>
            </w:pPr>
            <w:r w:rsidRPr="00047808">
              <w:rPr>
                <w:rFonts w:eastAsia="Times New Roman"/>
                <w:color w:val="000000"/>
                <w:lang w:eastAsia="lv-LV"/>
              </w:rPr>
              <w:t>daudzpakāpju projektu gadījumā, informācija par tālākajiem plānotajiem konkursiem/ atlasēm atbalsta saņēmējiem;</w:t>
            </w:r>
          </w:p>
        </w:tc>
        <w:tc>
          <w:tcPr>
            <w:tcW w:w="4061" w:type="dxa"/>
          </w:tcPr>
          <w:p w14:paraId="2D616210" w14:textId="7BEA8FEC" w:rsidR="001F35F8" w:rsidRPr="00047808" w:rsidRDefault="001F35F8" w:rsidP="001F35F8">
            <w:pPr>
              <w:autoSpaceDE w:val="0"/>
              <w:autoSpaceDN w:val="0"/>
              <w:jc w:val="both"/>
              <w:cnfStyle w:val="000000000000" w:firstRow="0" w:lastRow="0" w:firstColumn="0" w:lastColumn="0" w:oddVBand="0" w:evenVBand="0" w:oddHBand="0" w:evenHBand="0" w:firstRowFirstColumn="0" w:firstRowLastColumn="0" w:lastRowFirstColumn="0" w:lastRowLastColumn="0"/>
              <w:rPr>
                <w:rFonts w:eastAsia="Times New Roman"/>
                <w:color w:val="000000"/>
                <w:lang w:eastAsia="lv-LV"/>
              </w:rPr>
            </w:pPr>
            <w:r w:rsidRPr="00047808">
              <w:rPr>
                <w:rFonts w:eastAsia="Times New Roman"/>
                <w:color w:val="000000"/>
                <w:lang w:eastAsia="lv-LV"/>
              </w:rPr>
              <w:t>Nav attiecināms</w:t>
            </w:r>
            <w:r>
              <w:rPr>
                <w:rFonts w:eastAsia="Times New Roman"/>
                <w:color w:val="000000"/>
                <w:lang w:eastAsia="lv-LV"/>
              </w:rPr>
              <w:t>.</w:t>
            </w:r>
          </w:p>
        </w:tc>
      </w:tr>
      <w:tr w:rsidR="001F35F8" w:rsidRPr="00892161" w14:paraId="4A3177E6" w14:textId="77777777" w:rsidTr="00853B8B">
        <w:trPr>
          <w:trHeight w:val="841"/>
        </w:trPr>
        <w:tc>
          <w:tcPr>
            <w:cnfStyle w:val="001000000000" w:firstRow="0" w:lastRow="0" w:firstColumn="1" w:lastColumn="0" w:oddVBand="0" w:evenVBand="0" w:oddHBand="0" w:evenHBand="0" w:firstRowFirstColumn="0" w:firstRowLastColumn="0" w:lastRowFirstColumn="0" w:lastRowLastColumn="0"/>
            <w:tcW w:w="4444" w:type="dxa"/>
          </w:tcPr>
          <w:p w14:paraId="573014F8" w14:textId="6E0F12B1" w:rsidR="001F35F8" w:rsidRPr="00047808" w:rsidRDefault="001F35F8" w:rsidP="001F35F8">
            <w:pPr>
              <w:numPr>
                <w:ilvl w:val="0"/>
                <w:numId w:val="1"/>
              </w:numPr>
              <w:autoSpaceDE w:val="0"/>
              <w:autoSpaceDN w:val="0"/>
              <w:ind w:left="453" w:hanging="425"/>
              <w:jc w:val="both"/>
              <w:rPr>
                <w:rFonts w:eastAsia="Times New Roman"/>
                <w:color w:val="000000"/>
                <w:lang w:eastAsia="lv-LV"/>
              </w:rPr>
            </w:pPr>
            <w:r w:rsidRPr="00047808">
              <w:rPr>
                <w:rFonts w:eastAsia="Times New Roman"/>
                <w:color w:val="000000"/>
                <w:lang w:eastAsia="lv-LV"/>
              </w:rPr>
              <w:t>atlasei pieejamais finansējums, t.sk. ES fondu finansējums un nacionālais līdzfinansējums;</w:t>
            </w:r>
          </w:p>
        </w:tc>
        <w:tc>
          <w:tcPr>
            <w:tcW w:w="4061" w:type="dxa"/>
          </w:tcPr>
          <w:p w14:paraId="3693C0F5" w14:textId="77777777" w:rsidR="00FE58B3" w:rsidRPr="003F6B2B" w:rsidRDefault="003C4EE8" w:rsidP="003C4EE8">
            <w:pPr>
              <w:pStyle w:val="FootnoteText"/>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eastAsia="lv-LV"/>
              </w:rPr>
            </w:pPr>
            <w:r w:rsidRPr="003F6B2B">
              <w:rPr>
                <w:rFonts w:eastAsia="Times New Roman"/>
                <w:color w:val="000000"/>
                <w:sz w:val="24"/>
                <w:szCs w:val="24"/>
                <w:lang w:eastAsia="lv-LV"/>
              </w:rPr>
              <w:t>Pirmās atlases kārtas 3.1.1.3.pasākuma ietvaros  kopējais attiecināmais finansējums ir ne lielāks kā 61 642 051 </w:t>
            </w:r>
            <w:r w:rsidRPr="003F6B2B">
              <w:rPr>
                <w:rFonts w:eastAsia="Times New Roman"/>
                <w:i/>
                <w:iCs/>
                <w:color w:val="000000"/>
                <w:sz w:val="24"/>
                <w:szCs w:val="24"/>
                <w:lang w:eastAsia="lv-LV"/>
              </w:rPr>
              <w:t>euro</w:t>
            </w:r>
            <w:r w:rsidRPr="003F6B2B">
              <w:rPr>
                <w:rFonts w:eastAsia="Times New Roman"/>
                <w:color w:val="000000"/>
                <w:sz w:val="24"/>
                <w:szCs w:val="24"/>
                <w:lang w:eastAsia="lv-LV"/>
              </w:rPr>
              <w:t>, tai skaitā Kohēzijas fonda finansējums 52 395 743 </w:t>
            </w:r>
            <w:r w:rsidRPr="003F6B2B">
              <w:rPr>
                <w:rFonts w:eastAsia="Times New Roman"/>
                <w:i/>
                <w:iCs/>
                <w:color w:val="000000"/>
                <w:sz w:val="24"/>
                <w:szCs w:val="24"/>
                <w:lang w:eastAsia="lv-LV"/>
              </w:rPr>
              <w:t>euro</w:t>
            </w:r>
            <w:r w:rsidRPr="003F6B2B">
              <w:rPr>
                <w:rFonts w:eastAsia="Times New Roman"/>
                <w:color w:val="000000"/>
                <w:sz w:val="24"/>
                <w:szCs w:val="24"/>
                <w:lang w:eastAsia="lv-LV"/>
              </w:rPr>
              <w:t> un privātais finansējums – ne mazāks kā 9 246 308 </w:t>
            </w:r>
            <w:r w:rsidRPr="003F6B2B">
              <w:rPr>
                <w:rFonts w:eastAsia="Times New Roman"/>
                <w:i/>
                <w:iCs/>
                <w:color w:val="000000"/>
                <w:sz w:val="24"/>
                <w:szCs w:val="24"/>
                <w:lang w:eastAsia="lv-LV"/>
              </w:rPr>
              <w:t>euro</w:t>
            </w:r>
            <w:r w:rsidRPr="003F6B2B">
              <w:rPr>
                <w:rFonts w:eastAsia="Times New Roman"/>
                <w:color w:val="000000"/>
                <w:sz w:val="24"/>
                <w:szCs w:val="24"/>
                <w:lang w:eastAsia="lv-LV"/>
              </w:rPr>
              <w:t>, tai skaitā:</w:t>
            </w:r>
          </w:p>
          <w:p w14:paraId="4916D533" w14:textId="77777777" w:rsidR="003C4EE8" w:rsidRPr="003F6B2B" w:rsidRDefault="003C4EE8" w:rsidP="003C4EE8">
            <w:pPr>
              <w:pStyle w:val="FootnoteText"/>
              <w:numPr>
                <w:ilvl w:val="0"/>
                <w:numId w:val="6"/>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eastAsia="lv-LV"/>
              </w:rPr>
            </w:pPr>
            <w:r w:rsidRPr="003F6B2B">
              <w:rPr>
                <w:rFonts w:eastAsia="Times New Roman"/>
                <w:color w:val="000000"/>
                <w:sz w:val="24"/>
                <w:szCs w:val="24"/>
                <w:lang w:eastAsia="lv-LV"/>
              </w:rPr>
              <w:t>projekta Nr.6.2.1.2/21/I/001 “Dzelzceļa pasažieru infrastruktūras modernizācija” īstenošanai Kohēzijas fonda finansējums  26 314 702 </w:t>
            </w:r>
            <w:r w:rsidRPr="003F6B2B">
              <w:rPr>
                <w:rFonts w:eastAsia="Times New Roman"/>
                <w:i/>
                <w:iCs/>
                <w:color w:val="000000"/>
                <w:sz w:val="24"/>
                <w:szCs w:val="24"/>
                <w:lang w:eastAsia="lv-LV"/>
              </w:rPr>
              <w:t>euro</w:t>
            </w:r>
            <w:r w:rsidRPr="003F6B2B">
              <w:rPr>
                <w:rFonts w:eastAsia="Times New Roman"/>
                <w:color w:val="000000"/>
                <w:sz w:val="24"/>
                <w:szCs w:val="24"/>
                <w:lang w:eastAsia="lv-LV"/>
              </w:rPr>
              <w:t> un privātais finansējums – ne mazāks kā 4 643 771 </w:t>
            </w:r>
            <w:r w:rsidRPr="003F6B2B">
              <w:rPr>
                <w:rFonts w:eastAsia="Times New Roman"/>
                <w:i/>
                <w:iCs/>
                <w:color w:val="000000"/>
                <w:sz w:val="24"/>
                <w:szCs w:val="24"/>
                <w:lang w:eastAsia="lv-LV"/>
              </w:rPr>
              <w:t>euro</w:t>
            </w:r>
            <w:r w:rsidRPr="003F6B2B">
              <w:rPr>
                <w:rFonts w:eastAsia="Times New Roman"/>
                <w:color w:val="000000"/>
                <w:sz w:val="24"/>
                <w:szCs w:val="24"/>
                <w:lang w:eastAsia="lv-LV"/>
              </w:rPr>
              <w:t>;</w:t>
            </w:r>
          </w:p>
          <w:p w14:paraId="0F53BB3D" w14:textId="77777777" w:rsidR="003C4EE8" w:rsidRDefault="003C4EE8" w:rsidP="003C4EE8">
            <w:pPr>
              <w:pStyle w:val="FootnoteText"/>
              <w:numPr>
                <w:ilvl w:val="0"/>
                <w:numId w:val="6"/>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eastAsia="lv-LV"/>
              </w:rPr>
            </w:pPr>
            <w:r w:rsidRPr="003F6B2B">
              <w:rPr>
                <w:rFonts w:eastAsia="Times New Roman"/>
                <w:color w:val="000000"/>
                <w:sz w:val="24"/>
                <w:szCs w:val="24"/>
                <w:lang w:eastAsia="lv-LV"/>
              </w:rPr>
              <w:t>projekta Nr.6.2.1.2/22/I/002 “Dzelzceļa infrastruktūras modernizācija vilcienu kustības ātruma paaugstināšanai” īstenošanai  Kohēzijas fonda finansējums 26 081 041 </w:t>
            </w:r>
            <w:r w:rsidRPr="003F6B2B">
              <w:rPr>
                <w:rFonts w:eastAsia="Times New Roman"/>
                <w:i/>
                <w:iCs/>
                <w:color w:val="000000"/>
                <w:sz w:val="24"/>
                <w:szCs w:val="24"/>
                <w:lang w:eastAsia="lv-LV"/>
              </w:rPr>
              <w:t>euro</w:t>
            </w:r>
            <w:r w:rsidRPr="003F6B2B">
              <w:rPr>
                <w:rFonts w:eastAsia="Times New Roman"/>
                <w:color w:val="000000"/>
                <w:sz w:val="24"/>
                <w:szCs w:val="24"/>
                <w:lang w:eastAsia="lv-LV"/>
              </w:rPr>
              <w:t> un privātais finansējums – ne mazāks kā 4 602 537 </w:t>
            </w:r>
            <w:r w:rsidRPr="003F6B2B">
              <w:rPr>
                <w:rFonts w:eastAsia="Times New Roman"/>
                <w:i/>
                <w:iCs/>
                <w:color w:val="000000"/>
                <w:sz w:val="24"/>
                <w:szCs w:val="24"/>
                <w:lang w:eastAsia="lv-LV"/>
              </w:rPr>
              <w:t>euro</w:t>
            </w:r>
            <w:r w:rsidRPr="003F6B2B">
              <w:rPr>
                <w:rFonts w:eastAsia="Times New Roman"/>
                <w:color w:val="000000"/>
                <w:sz w:val="24"/>
                <w:szCs w:val="24"/>
                <w:lang w:eastAsia="lv-LV"/>
              </w:rPr>
              <w:t>.</w:t>
            </w:r>
          </w:p>
          <w:p w14:paraId="626D5DD4" w14:textId="77777777" w:rsidR="003C4EE8" w:rsidRDefault="003C4EE8" w:rsidP="00853B8B">
            <w:pPr>
              <w:pStyle w:val="FootnoteText"/>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eastAsia="lv-LV"/>
              </w:rPr>
            </w:pPr>
          </w:p>
          <w:p w14:paraId="35FAE601" w14:textId="77777777" w:rsidR="00853B8B" w:rsidRDefault="00853B8B" w:rsidP="00853B8B">
            <w:pPr>
              <w:pStyle w:val="FootnoteText"/>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eastAsia="lv-LV"/>
              </w:rPr>
            </w:pPr>
            <w:r w:rsidRPr="00853B8B">
              <w:rPr>
                <w:rFonts w:eastAsia="Times New Roman"/>
                <w:color w:val="000000"/>
                <w:sz w:val="24"/>
                <w:szCs w:val="24"/>
                <w:lang w:eastAsia="lv-LV"/>
              </w:rPr>
              <w:t xml:space="preserve">Otrās atlases kārtas 3.1.1.1.pasākuma ietvaros plānotais kopējais finansējums ir ne mazāks kā 264 920 522 </w:t>
            </w:r>
            <w:r w:rsidRPr="00853B8B">
              <w:rPr>
                <w:rFonts w:eastAsia="Times New Roman"/>
                <w:i/>
                <w:iCs/>
                <w:color w:val="000000"/>
                <w:sz w:val="24"/>
                <w:szCs w:val="24"/>
                <w:lang w:eastAsia="lv-LV"/>
              </w:rPr>
              <w:t>euro</w:t>
            </w:r>
            <w:r w:rsidRPr="00853B8B">
              <w:rPr>
                <w:rFonts w:eastAsia="Times New Roman"/>
                <w:color w:val="000000"/>
                <w:sz w:val="24"/>
                <w:szCs w:val="24"/>
                <w:lang w:eastAsia="lv-LV"/>
              </w:rPr>
              <w:t> (tai skaitā elastības finansējuma apjoms – 66 488 326 euro), tai skaitā Kohēzijas fonda finansējums 225 182 443 </w:t>
            </w:r>
            <w:r w:rsidRPr="00853B8B">
              <w:rPr>
                <w:rFonts w:eastAsia="Times New Roman"/>
                <w:i/>
                <w:iCs/>
                <w:color w:val="000000"/>
                <w:sz w:val="24"/>
                <w:szCs w:val="24"/>
                <w:lang w:eastAsia="lv-LV"/>
              </w:rPr>
              <w:t>euro</w:t>
            </w:r>
            <w:r w:rsidRPr="00853B8B">
              <w:rPr>
                <w:rFonts w:eastAsia="Times New Roman"/>
                <w:color w:val="000000"/>
                <w:sz w:val="24"/>
                <w:szCs w:val="24"/>
                <w:lang w:eastAsia="lv-LV"/>
              </w:rPr>
              <w:t xml:space="preserve"> (tai skaitā elastības finansējuma apjoms – 56 515 077 </w:t>
            </w:r>
            <w:r w:rsidRPr="00853B8B">
              <w:rPr>
                <w:rFonts w:eastAsia="Times New Roman"/>
                <w:i/>
                <w:iCs/>
                <w:color w:val="000000"/>
                <w:sz w:val="24"/>
                <w:szCs w:val="24"/>
                <w:lang w:eastAsia="lv-LV"/>
              </w:rPr>
              <w:t>euro</w:t>
            </w:r>
            <w:r w:rsidRPr="00853B8B">
              <w:rPr>
                <w:rFonts w:eastAsia="Times New Roman"/>
                <w:color w:val="000000"/>
                <w:sz w:val="24"/>
                <w:szCs w:val="24"/>
                <w:lang w:eastAsia="lv-LV"/>
              </w:rPr>
              <w:t xml:space="preserve">) un privātais finansējums – ne mazāks kā 39 738 079  </w:t>
            </w:r>
            <w:r w:rsidRPr="00853B8B">
              <w:rPr>
                <w:rFonts w:eastAsia="Times New Roman"/>
                <w:i/>
                <w:iCs/>
                <w:color w:val="000000"/>
                <w:sz w:val="24"/>
                <w:szCs w:val="24"/>
                <w:lang w:eastAsia="lv-LV"/>
              </w:rPr>
              <w:t>euro </w:t>
            </w:r>
            <w:r w:rsidRPr="00853B8B">
              <w:rPr>
                <w:rFonts w:eastAsia="Times New Roman"/>
                <w:color w:val="000000"/>
                <w:sz w:val="24"/>
                <w:szCs w:val="24"/>
                <w:lang w:eastAsia="lv-LV"/>
              </w:rPr>
              <w:t xml:space="preserve">(tai skaitā elastības finansējuma apjoms  9 973 249 </w:t>
            </w:r>
            <w:r w:rsidRPr="00853B8B">
              <w:rPr>
                <w:rFonts w:eastAsia="Times New Roman"/>
                <w:i/>
                <w:iCs/>
                <w:color w:val="000000"/>
                <w:sz w:val="24"/>
                <w:szCs w:val="24"/>
                <w:lang w:eastAsia="lv-LV"/>
              </w:rPr>
              <w:t>euro</w:t>
            </w:r>
            <w:r w:rsidRPr="00853B8B">
              <w:rPr>
                <w:rFonts w:eastAsia="Times New Roman"/>
                <w:color w:val="000000"/>
                <w:sz w:val="24"/>
                <w:szCs w:val="24"/>
                <w:lang w:eastAsia="lv-LV"/>
              </w:rPr>
              <w:t>).</w:t>
            </w:r>
          </w:p>
          <w:p w14:paraId="13A8BD6E" w14:textId="4FCE1153" w:rsidR="00853B8B" w:rsidRDefault="00853B8B" w:rsidP="00853B8B">
            <w:pPr>
              <w:pStyle w:val="FootnoteText"/>
              <w:jc w:val="both"/>
              <w:cnfStyle w:val="000000000000" w:firstRow="0" w:lastRow="0" w:firstColumn="0" w:lastColumn="0" w:oddVBand="0" w:evenVBand="0" w:oddHBand="0" w:evenHBand="0" w:firstRowFirstColumn="0" w:firstRowLastColumn="0" w:lastRowFirstColumn="0" w:lastRowLastColumn="0"/>
              <w:rPr>
                <w:rFonts w:eastAsia="Times New Roman"/>
                <w:i/>
                <w:iCs/>
                <w:color w:val="000000"/>
                <w:sz w:val="24"/>
                <w:szCs w:val="24"/>
                <w:lang w:eastAsia="lv-LV"/>
              </w:rPr>
            </w:pPr>
            <w:r w:rsidRPr="00853B8B">
              <w:rPr>
                <w:rFonts w:eastAsia="Times New Roman"/>
                <w:color w:val="000000"/>
                <w:sz w:val="24"/>
                <w:szCs w:val="24"/>
                <w:lang w:eastAsia="lv-LV"/>
              </w:rPr>
              <w:br/>
              <w:t>Otrās atlases kārtas 3.1.1.3.pasākuma ietvaros plānotais kopējais finansējums ir 94 117 648 </w:t>
            </w:r>
            <w:r w:rsidRPr="00853B8B">
              <w:rPr>
                <w:rFonts w:eastAsia="Times New Roman"/>
                <w:i/>
                <w:iCs/>
                <w:color w:val="000000"/>
                <w:sz w:val="24"/>
                <w:szCs w:val="24"/>
                <w:lang w:eastAsia="lv-LV"/>
              </w:rPr>
              <w:t>euro</w:t>
            </w:r>
            <w:r w:rsidRPr="00853B8B">
              <w:rPr>
                <w:rFonts w:eastAsia="Times New Roman"/>
                <w:color w:val="000000"/>
                <w:sz w:val="24"/>
                <w:szCs w:val="24"/>
                <w:lang w:eastAsia="lv-LV"/>
              </w:rPr>
              <w:t>, tai skaitā Kohēzijas fonda finansējums  80 000 000 euro un privātais finansējums – ne mazāks kā 14 117</w:t>
            </w:r>
            <w:r>
              <w:rPr>
                <w:rFonts w:eastAsia="Times New Roman"/>
                <w:color w:val="000000"/>
                <w:sz w:val="24"/>
                <w:szCs w:val="24"/>
                <w:lang w:eastAsia="lv-LV"/>
              </w:rPr>
              <w:t> </w:t>
            </w:r>
            <w:r w:rsidRPr="00853B8B">
              <w:rPr>
                <w:rFonts w:eastAsia="Times New Roman"/>
                <w:color w:val="000000"/>
                <w:sz w:val="24"/>
                <w:szCs w:val="24"/>
                <w:lang w:eastAsia="lv-LV"/>
              </w:rPr>
              <w:t>648</w:t>
            </w:r>
            <w:r>
              <w:rPr>
                <w:rFonts w:eastAsia="Times New Roman"/>
                <w:color w:val="000000"/>
                <w:sz w:val="24"/>
                <w:szCs w:val="24"/>
                <w:lang w:eastAsia="lv-LV"/>
              </w:rPr>
              <w:t xml:space="preserve"> </w:t>
            </w:r>
            <w:r w:rsidRPr="00853B8B">
              <w:rPr>
                <w:rFonts w:eastAsia="Times New Roman"/>
                <w:color w:val="000000"/>
                <w:sz w:val="24"/>
                <w:szCs w:val="24"/>
                <w:lang w:eastAsia="lv-LV"/>
              </w:rPr>
              <w:t> </w:t>
            </w:r>
            <w:r w:rsidRPr="00853B8B">
              <w:rPr>
                <w:rFonts w:eastAsia="Times New Roman"/>
                <w:i/>
                <w:iCs/>
                <w:color w:val="000000"/>
                <w:sz w:val="24"/>
                <w:szCs w:val="24"/>
                <w:lang w:eastAsia="lv-LV"/>
              </w:rPr>
              <w:t>euro.</w:t>
            </w:r>
          </w:p>
          <w:p w14:paraId="6AA15472" w14:textId="4B77D909" w:rsidR="003F6B2B" w:rsidRPr="00853B8B" w:rsidRDefault="00853B8B" w:rsidP="00853B8B">
            <w:pPr>
              <w:pStyle w:val="FootnoteText"/>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eastAsia="lv-LV"/>
              </w:rPr>
            </w:pPr>
            <w:r w:rsidRPr="00853B8B">
              <w:rPr>
                <w:rFonts w:eastAsia="Times New Roman"/>
                <w:color w:val="000000"/>
                <w:sz w:val="24"/>
                <w:szCs w:val="24"/>
                <w:lang w:eastAsia="lv-LV"/>
              </w:rPr>
              <w:br/>
              <w:t xml:space="preserve">Otrās atlases kārtas 3.1.1.1.pasākuma īstenošanai pieejamais kopējais attiecināmais finansējums līdz 2025.gada 31.decembrim, lai slēgtu līgumu par projekta īstenošanu, ir ne lielāks kā  198 432 196 </w:t>
            </w:r>
            <w:r w:rsidRPr="00853B8B">
              <w:rPr>
                <w:rFonts w:eastAsia="Times New Roman"/>
                <w:i/>
                <w:iCs/>
                <w:color w:val="000000"/>
                <w:sz w:val="24"/>
                <w:szCs w:val="24"/>
                <w:lang w:eastAsia="lv-LV"/>
              </w:rPr>
              <w:t>euro</w:t>
            </w:r>
            <w:r w:rsidRPr="00853B8B">
              <w:rPr>
                <w:rFonts w:eastAsia="Times New Roman"/>
                <w:color w:val="000000"/>
                <w:sz w:val="24"/>
                <w:szCs w:val="24"/>
                <w:lang w:eastAsia="lv-LV"/>
              </w:rPr>
              <w:t xml:space="preserve">, tai skaitā Kohēzijas fonda </w:t>
            </w:r>
            <w:r w:rsidRPr="00853B8B">
              <w:rPr>
                <w:rFonts w:eastAsia="Times New Roman"/>
                <w:color w:val="000000"/>
                <w:sz w:val="24"/>
                <w:szCs w:val="24"/>
                <w:lang w:eastAsia="lv-LV"/>
              </w:rPr>
              <w:lastRenderedPageBreak/>
              <w:t xml:space="preserve">finansējums 168 667 366 </w:t>
            </w:r>
            <w:r w:rsidRPr="00853B8B">
              <w:rPr>
                <w:rFonts w:eastAsia="Times New Roman"/>
                <w:i/>
                <w:iCs/>
                <w:color w:val="000000"/>
                <w:sz w:val="24"/>
                <w:szCs w:val="24"/>
                <w:lang w:eastAsia="lv-LV"/>
              </w:rPr>
              <w:t>euro</w:t>
            </w:r>
            <w:r w:rsidRPr="00853B8B">
              <w:rPr>
                <w:rFonts w:eastAsia="Times New Roman"/>
                <w:color w:val="000000"/>
                <w:sz w:val="24"/>
                <w:szCs w:val="24"/>
                <w:lang w:eastAsia="lv-LV"/>
              </w:rPr>
              <w:t xml:space="preserve"> un privātais finansējums – ne lielāks kā 29 764 830 </w:t>
            </w:r>
            <w:r w:rsidRPr="00853B8B">
              <w:rPr>
                <w:rFonts w:eastAsia="Times New Roman"/>
                <w:i/>
                <w:iCs/>
                <w:color w:val="000000"/>
                <w:sz w:val="24"/>
                <w:szCs w:val="24"/>
                <w:lang w:eastAsia="lv-LV"/>
              </w:rPr>
              <w:t>euro.</w:t>
            </w:r>
          </w:p>
        </w:tc>
      </w:tr>
      <w:tr w:rsidR="001F35F8" w:rsidRPr="00892161" w14:paraId="423DB071" w14:textId="77777777" w:rsidTr="00893BD3">
        <w:tc>
          <w:tcPr>
            <w:cnfStyle w:val="001000000000" w:firstRow="0" w:lastRow="0" w:firstColumn="1" w:lastColumn="0" w:oddVBand="0" w:evenVBand="0" w:oddHBand="0" w:evenHBand="0" w:firstRowFirstColumn="0" w:firstRowLastColumn="0" w:lastRowFirstColumn="0" w:lastRowLastColumn="0"/>
            <w:tcW w:w="4444" w:type="dxa"/>
          </w:tcPr>
          <w:p w14:paraId="66D18E44" w14:textId="77777777" w:rsidR="001F35F8" w:rsidRPr="00047808" w:rsidRDefault="001F35F8" w:rsidP="001F35F8">
            <w:pPr>
              <w:numPr>
                <w:ilvl w:val="0"/>
                <w:numId w:val="1"/>
              </w:numPr>
              <w:autoSpaceDE w:val="0"/>
              <w:autoSpaceDN w:val="0"/>
              <w:ind w:left="453" w:hanging="425"/>
              <w:jc w:val="both"/>
              <w:rPr>
                <w:rFonts w:eastAsia="Times New Roman"/>
                <w:color w:val="000000"/>
                <w:lang w:eastAsia="lv-LV"/>
              </w:rPr>
            </w:pPr>
            <w:r w:rsidRPr="00047808">
              <w:rPr>
                <w:rFonts w:eastAsia="Times New Roman"/>
                <w:color w:val="000000"/>
                <w:lang w:eastAsia="lv-LV"/>
              </w:rPr>
              <w:lastRenderedPageBreak/>
              <w:t>komercdarbības atbalsta esamība SAM, tā pasākumā, atlasē un plānotais komercdarbības atbalsta regulējums (ja attiecināms);</w:t>
            </w:r>
          </w:p>
        </w:tc>
        <w:tc>
          <w:tcPr>
            <w:tcW w:w="4061" w:type="dxa"/>
          </w:tcPr>
          <w:p w14:paraId="104BAD22" w14:textId="342246E8" w:rsidR="001F35F8" w:rsidRPr="00047808" w:rsidRDefault="00892161" w:rsidP="001F35F8">
            <w:pPr>
              <w:autoSpaceDE w:val="0"/>
              <w:autoSpaceDN w:val="0"/>
              <w:jc w:val="both"/>
              <w:cnfStyle w:val="000000000000" w:firstRow="0" w:lastRow="0" w:firstColumn="0" w:lastColumn="0" w:oddVBand="0" w:evenVBand="0" w:oddHBand="0" w:evenHBand="0" w:firstRowFirstColumn="0" w:firstRowLastColumn="0" w:lastRowFirstColumn="0" w:lastRowLastColumn="0"/>
              <w:rPr>
                <w:rFonts w:eastAsia="Times New Roman"/>
                <w:color w:val="000000"/>
                <w:lang w:eastAsia="lv-LV"/>
              </w:rPr>
            </w:pPr>
            <w:r>
              <w:t>Komercdarbības atbalsts pasākuma ietvaros nav paredzēts.</w:t>
            </w:r>
          </w:p>
        </w:tc>
      </w:tr>
      <w:tr w:rsidR="001F35F8" w:rsidRPr="00892161" w14:paraId="1F59D1E1" w14:textId="77777777" w:rsidTr="00893BD3">
        <w:tc>
          <w:tcPr>
            <w:cnfStyle w:val="001000000000" w:firstRow="0" w:lastRow="0" w:firstColumn="1" w:lastColumn="0" w:oddVBand="0" w:evenVBand="0" w:oddHBand="0" w:evenHBand="0" w:firstRowFirstColumn="0" w:firstRowLastColumn="0" w:lastRowFirstColumn="0" w:lastRowLastColumn="0"/>
            <w:tcW w:w="4444" w:type="dxa"/>
          </w:tcPr>
          <w:p w14:paraId="53A6B6A4" w14:textId="77777777" w:rsidR="001F35F8" w:rsidRPr="00047808" w:rsidRDefault="001F35F8" w:rsidP="001F35F8">
            <w:pPr>
              <w:numPr>
                <w:ilvl w:val="0"/>
                <w:numId w:val="1"/>
              </w:numPr>
              <w:autoSpaceDE w:val="0"/>
              <w:autoSpaceDN w:val="0"/>
              <w:ind w:left="453" w:hanging="425"/>
              <w:jc w:val="both"/>
              <w:rPr>
                <w:rFonts w:eastAsia="Times New Roman"/>
                <w:color w:val="000000"/>
                <w:lang w:eastAsia="lv-LV"/>
              </w:rPr>
            </w:pPr>
            <w:r w:rsidRPr="00047808">
              <w:rPr>
                <w:rFonts w:eastAsia="Times New Roman"/>
                <w:color w:val="000000"/>
                <w:lang w:eastAsia="lv-LV"/>
              </w:rPr>
              <w:t>būtiskākās plānotās aktivitātes/ atbalstāmās darbības atlases kārtas ietvaros un indikatīvais finansējuma sadalījums starp tām (var tikt izmantots Programmā un Programmas papildinājumā noteiktais sadalījums pa intervences laukuma jomām);</w:t>
            </w:r>
          </w:p>
        </w:tc>
        <w:tc>
          <w:tcPr>
            <w:tcW w:w="4061" w:type="dxa"/>
          </w:tcPr>
          <w:p w14:paraId="7B14F7B9" w14:textId="146FB230" w:rsidR="00FE58B3" w:rsidRDefault="00FE58B3" w:rsidP="00FE58B3">
            <w:pPr>
              <w:jc w:val="both"/>
              <w:cnfStyle w:val="000000000000" w:firstRow="0" w:lastRow="0" w:firstColumn="0" w:lastColumn="0" w:oddVBand="0" w:evenVBand="0" w:oddHBand="0" w:evenHBand="0" w:firstRowFirstColumn="0" w:firstRowLastColumn="0" w:lastRowFirstColumn="0" w:lastRowLastColumn="0"/>
            </w:pPr>
            <w:r>
              <w:t xml:space="preserve">3.1.1.1.pasākuma “Dzelzceļa transporta attīstība un energoefektivitātes uzlabošana sabiedriskajos pasažieru pārvadājumos” </w:t>
            </w:r>
            <w:r>
              <w:rPr>
                <w:i/>
                <w:iCs/>
              </w:rPr>
              <w:t>(elektrifikācija)</w:t>
            </w:r>
            <w:r>
              <w:t xml:space="preserve"> ir paredzēta dzelzceļa infrastruktūras būvniecība, pārbūve un atjaunošana, nodrošinot pilnvērtīgu integrēšanos TEN-T tīklā un energoefektivitātes uzlabošana sabiedriskajos pasažieru pārvadājumos</w:t>
            </w:r>
            <w:r w:rsidR="00892161">
              <w:t>.</w:t>
            </w:r>
          </w:p>
          <w:p w14:paraId="69DB8126" w14:textId="77777777" w:rsidR="00FE58B3" w:rsidRDefault="00FE58B3" w:rsidP="00FE58B3">
            <w:pPr>
              <w:jc w:val="both"/>
              <w:cnfStyle w:val="000000000000" w:firstRow="0" w:lastRow="0" w:firstColumn="0" w:lastColumn="0" w:oddVBand="0" w:evenVBand="0" w:oddHBand="0" w:evenHBand="0" w:firstRowFirstColumn="0" w:firstRowLastColumn="0" w:lastRowFirstColumn="0" w:lastRowLastColumn="0"/>
            </w:pPr>
          </w:p>
          <w:p w14:paraId="2DC80911" w14:textId="77777777" w:rsidR="00FE58B3" w:rsidRPr="00FE58B3" w:rsidRDefault="00FE58B3" w:rsidP="00FE58B3">
            <w:pPr>
              <w:widowControl w:val="0"/>
              <w:jc w:val="both"/>
              <w:cnfStyle w:val="000000000000" w:firstRow="0" w:lastRow="0" w:firstColumn="0" w:lastColumn="0" w:oddVBand="0" w:evenVBand="0" w:oddHBand="0" w:evenHBand="0" w:firstRowFirstColumn="0" w:firstRowLastColumn="0" w:lastRowFirstColumn="0" w:lastRowLastColumn="0"/>
            </w:pPr>
            <w:r w:rsidRPr="00FE58B3">
              <w:t xml:space="preserve">3.1.1.3.pasākumā “Eiropas transporta tīklā esošās dzelzceļa infrastruktūras attīstība” ietvaros ir paredzēta Eiropas transporta tīklā esošās dzelzceļa infrastruktūras modernizācija un jaunas izveide, vienotas satiksmes vadības sistēmu ieviešana, dzelzceļa pasažieru infrastruktūras modernizācija un  drošības pasākumu īstenošana. </w:t>
            </w:r>
          </w:p>
          <w:p w14:paraId="5178B8E4" w14:textId="7352F33E" w:rsidR="001F35F8" w:rsidRPr="00AA2435" w:rsidRDefault="001F35F8" w:rsidP="001F35F8">
            <w:pPr>
              <w:jc w:val="both"/>
              <w:cnfStyle w:val="000000000000" w:firstRow="0" w:lastRow="0" w:firstColumn="0" w:lastColumn="0" w:oddVBand="0" w:evenVBand="0" w:oddHBand="0" w:evenHBand="0" w:firstRowFirstColumn="0" w:firstRowLastColumn="0" w:lastRowFirstColumn="0" w:lastRowLastColumn="0"/>
            </w:pPr>
          </w:p>
        </w:tc>
      </w:tr>
      <w:tr w:rsidR="001F35F8" w:rsidRPr="00892161" w14:paraId="315805BE" w14:textId="77777777" w:rsidTr="00893BD3">
        <w:tc>
          <w:tcPr>
            <w:cnfStyle w:val="001000000000" w:firstRow="0" w:lastRow="0" w:firstColumn="1" w:lastColumn="0" w:oddVBand="0" w:evenVBand="0" w:oddHBand="0" w:evenHBand="0" w:firstRowFirstColumn="0" w:firstRowLastColumn="0" w:lastRowFirstColumn="0" w:lastRowLastColumn="0"/>
            <w:tcW w:w="4444" w:type="dxa"/>
          </w:tcPr>
          <w:p w14:paraId="53D5706A" w14:textId="77777777" w:rsidR="001F35F8" w:rsidRPr="00047808" w:rsidRDefault="001F35F8" w:rsidP="001F35F8">
            <w:pPr>
              <w:numPr>
                <w:ilvl w:val="0"/>
                <w:numId w:val="1"/>
              </w:numPr>
              <w:autoSpaceDE w:val="0"/>
              <w:autoSpaceDN w:val="0"/>
              <w:ind w:left="453" w:hanging="425"/>
              <w:jc w:val="both"/>
              <w:rPr>
                <w:rFonts w:eastAsia="Times New Roman"/>
                <w:color w:val="000000"/>
                <w:lang w:eastAsia="lv-LV"/>
              </w:rPr>
            </w:pPr>
            <w:r w:rsidRPr="00047808">
              <w:rPr>
                <w:rFonts w:eastAsia="Times New Roman"/>
                <w:color w:val="000000"/>
                <w:lang w:eastAsia="lv-LV"/>
              </w:rPr>
              <w:t>atlases ietvaros sasniedzamais mērķis/i;</w:t>
            </w:r>
          </w:p>
        </w:tc>
        <w:tc>
          <w:tcPr>
            <w:tcW w:w="4061" w:type="dxa"/>
          </w:tcPr>
          <w:p w14:paraId="3E467DE1" w14:textId="67086988" w:rsidR="001F35F8" w:rsidRPr="00047808" w:rsidRDefault="003070C5" w:rsidP="001F35F8">
            <w:pPr>
              <w:autoSpaceDE w:val="0"/>
              <w:autoSpaceDN w:val="0"/>
              <w:jc w:val="both"/>
              <w:cnfStyle w:val="000000000000" w:firstRow="0" w:lastRow="0" w:firstColumn="0" w:lastColumn="0" w:oddVBand="0" w:evenVBand="0" w:oddHBand="0" w:evenHBand="0" w:firstRowFirstColumn="0" w:firstRowLastColumn="0" w:lastRowFirstColumn="0" w:lastRowLastColumn="0"/>
              <w:rPr>
                <w:rFonts w:eastAsia="Times New Roman"/>
                <w:color w:val="000000"/>
                <w:lang w:eastAsia="lv-LV"/>
              </w:rPr>
            </w:pPr>
            <w:r>
              <w:t>Pasākumu mērķis ir modernizēt esošo elektrificēto tīkl</w:t>
            </w:r>
            <w:r w:rsidR="00FE5354">
              <w:t xml:space="preserve">u, </w:t>
            </w:r>
            <w:r>
              <w:t>paplašināt elektrificēto zonu  un paaugstināt pasažieru un vilcienu kustības drošību, pasažieru apkalpošanas kvalitāti un komfortu</w:t>
            </w:r>
            <w:r w:rsidR="00FE5354">
              <w:t>.</w:t>
            </w:r>
          </w:p>
        </w:tc>
      </w:tr>
      <w:tr w:rsidR="001F35F8" w:rsidRPr="00892161" w14:paraId="2FF09115" w14:textId="77777777" w:rsidTr="00893BD3">
        <w:tc>
          <w:tcPr>
            <w:cnfStyle w:val="001000000000" w:firstRow="0" w:lastRow="0" w:firstColumn="1" w:lastColumn="0" w:oddVBand="0" w:evenVBand="0" w:oddHBand="0" w:evenHBand="0" w:firstRowFirstColumn="0" w:firstRowLastColumn="0" w:lastRowFirstColumn="0" w:lastRowLastColumn="0"/>
            <w:tcW w:w="4444" w:type="dxa"/>
          </w:tcPr>
          <w:p w14:paraId="18E11E2C" w14:textId="77777777" w:rsidR="001F35F8" w:rsidRPr="00047808" w:rsidRDefault="001F35F8" w:rsidP="001F35F8">
            <w:pPr>
              <w:numPr>
                <w:ilvl w:val="0"/>
                <w:numId w:val="1"/>
              </w:numPr>
              <w:autoSpaceDE w:val="0"/>
              <w:autoSpaceDN w:val="0"/>
              <w:ind w:left="453" w:hanging="425"/>
              <w:jc w:val="both"/>
              <w:rPr>
                <w:rFonts w:eastAsia="Times New Roman"/>
                <w:color w:val="000000"/>
                <w:lang w:eastAsia="lv-LV"/>
              </w:rPr>
            </w:pPr>
            <w:r w:rsidRPr="00047808">
              <w:rPr>
                <w:rFonts w:eastAsia="Times New Roman"/>
                <w:color w:val="000000"/>
                <w:lang w:eastAsia="lv-LV"/>
              </w:rPr>
              <w:t>atlases ietvaros sasniedzamie rādītāji;</w:t>
            </w:r>
          </w:p>
        </w:tc>
        <w:tc>
          <w:tcPr>
            <w:tcW w:w="4061" w:type="dxa"/>
          </w:tcPr>
          <w:p w14:paraId="0B21D47C" w14:textId="02744EEF" w:rsidR="00EE5564" w:rsidRPr="00EE5564" w:rsidRDefault="00EE5564" w:rsidP="001F35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EE5564">
              <w:t xml:space="preserve">Pirmās atlases kārtas ietvaros </w:t>
            </w:r>
            <w:r w:rsidRPr="00EE5564">
              <w:rPr>
                <w:u w:val="single"/>
              </w:rPr>
              <w:t>līdz 2026.gada 1.janvārim sasniedzami šādi uzraudzības rādītāji</w:t>
            </w:r>
            <w:r w:rsidRPr="00EE5564">
              <w:t>:</w:t>
            </w:r>
          </w:p>
          <w:p w14:paraId="17B7C6FA" w14:textId="53476ABB" w:rsidR="00EE5564" w:rsidRDefault="00EE5564" w:rsidP="00EE5564">
            <w:pPr>
              <w:numPr>
                <w:ilvl w:val="1"/>
                <w:numId w:val="7"/>
              </w:numPr>
              <w:ind w:hanging="728"/>
              <w:jc w:val="both"/>
              <w:cnfStyle w:val="000000000000" w:firstRow="0" w:lastRow="0" w:firstColumn="0" w:lastColumn="0" w:oddVBand="0" w:evenVBand="0" w:oddHBand="0" w:evenHBand="0" w:firstRowFirstColumn="0" w:firstRowLastColumn="0" w:lastRowFirstColumn="0" w:lastRowLastColumn="0"/>
            </w:pPr>
            <w:r w:rsidRPr="00EE5564">
              <w:t>rezultāta rādītājs – vilcienu kustības ātruma palielināšanās</w:t>
            </w:r>
            <w:r>
              <w:t xml:space="preserve"> </w:t>
            </w:r>
            <w:r w:rsidRPr="00EE5564">
              <w:t>modernizētajā līnijā līdz 140 km/h;</w:t>
            </w:r>
          </w:p>
          <w:p w14:paraId="00592CAE" w14:textId="3D27D653" w:rsidR="00EE5564" w:rsidRDefault="00EE5564" w:rsidP="00EE5564">
            <w:pPr>
              <w:numPr>
                <w:ilvl w:val="1"/>
                <w:numId w:val="7"/>
              </w:numPr>
              <w:ind w:hanging="728"/>
              <w:jc w:val="both"/>
              <w:cnfStyle w:val="000000000000" w:firstRow="0" w:lastRow="0" w:firstColumn="0" w:lastColumn="0" w:oddVBand="0" w:evenVBand="0" w:oddHBand="0" w:evenHBand="0" w:firstRowFirstColumn="0" w:firstRowLastColumn="0" w:lastRowFirstColumn="0" w:lastRowLastColumn="0"/>
            </w:pPr>
            <w:r w:rsidRPr="00EE5564">
              <w:t>rezultāta rādītājs – modernizētās dzelzceļa pasažieru infrastruktūras īpatsvars – 49 %;</w:t>
            </w:r>
          </w:p>
          <w:p w14:paraId="0B5AEB0F" w14:textId="77777777" w:rsidR="00EE5564" w:rsidRDefault="00EE5564" w:rsidP="00EE5564">
            <w:pPr>
              <w:numPr>
                <w:ilvl w:val="1"/>
                <w:numId w:val="7"/>
              </w:numPr>
              <w:ind w:hanging="728"/>
              <w:jc w:val="both"/>
              <w:cnfStyle w:val="000000000000" w:firstRow="0" w:lastRow="0" w:firstColumn="0" w:lastColumn="0" w:oddVBand="0" w:evenVBand="0" w:oddHBand="0" w:evenHBand="0" w:firstRowFirstColumn="0" w:firstRowLastColumn="0" w:lastRowFirstColumn="0" w:lastRowLastColumn="0"/>
            </w:pPr>
            <w:r w:rsidRPr="00EE5564">
              <w:t>iznākuma rādītājs – staciju skaits, kurās uzbūvēti paaugstinātie peroni, – 45;</w:t>
            </w:r>
          </w:p>
          <w:p w14:paraId="2A3D3ECF" w14:textId="65305C89" w:rsidR="00EE5564" w:rsidRPr="00EE5564" w:rsidRDefault="00EE5564" w:rsidP="00EE5564">
            <w:pPr>
              <w:numPr>
                <w:ilvl w:val="1"/>
                <w:numId w:val="7"/>
              </w:numPr>
              <w:ind w:hanging="728"/>
              <w:jc w:val="both"/>
              <w:cnfStyle w:val="000000000000" w:firstRow="0" w:lastRow="0" w:firstColumn="0" w:lastColumn="0" w:oddVBand="0" w:evenVBand="0" w:oddHBand="0" w:evenHBand="0" w:firstRowFirstColumn="0" w:firstRowLastColumn="0" w:lastRowFirstColumn="0" w:lastRowLastColumn="0"/>
            </w:pPr>
            <w:r w:rsidRPr="00EE5564">
              <w:t> iznākuma rādītājs – rekonstruēto vai modernizēto dzelzceļa līniju kopējais garums – 100 km.</w:t>
            </w:r>
          </w:p>
          <w:p w14:paraId="21D09151" w14:textId="4BCEE6B9" w:rsidR="00EE5564" w:rsidRPr="00EE5564" w:rsidRDefault="00EE5564" w:rsidP="00EE5564">
            <w:pPr>
              <w:spacing w:before="280"/>
              <w:jc w:val="both"/>
              <w:cnfStyle w:val="000000000000" w:firstRow="0" w:lastRow="0" w:firstColumn="0" w:lastColumn="0" w:oddVBand="0" w:evenVBand="0" w:oddHBand="0" w:evenHBand="0" w:firstRowFirstColumn="0" w:firstRowLastColumn="0" w:lastRowFirstColumn="0" w:lastRowLastColumn="0"/>
              <w:rPr>
                <w:u w:val="single"/>
              </w:rPr>
            </w:pPr>
            <w:r>
              <w:t>Otrās atlases k</w:t>
            </w:r>
            <w:r w:rsidR="0065005D">
              <w:t>ā</w:t>
            </w:r>
            <w:r>
              <w:t xml:space="preserve">rtas ietvaros </w:t>
            </w:r>
            <w:r w:rsidRPr="00EE5564">
              <w:rPr>
                <w:u w:val="single"/>
              </w:rPr>
              <w:t>līdz 2029. gada 31.decembrim sasniedzami šādi uzraudzības rādītāji:</w:t>
            </w:r>
          </w:p>
          <w:p w14:paraId="38AFE624" w14:textId="04D6E25A" w:rsidR="00EE5564" w:rsidRDefault="00EE5564" w:rsidP="00EE5564">
            <w:pPr>
              <w:numPr>
                <w:ilvl w:val="1"/>
                <w:numId w:val="7"/>
              </w:numPr>
              <w:ind w:hanging="728"/>
              <w:jc w:val="both"/>
              <w:cnfStyle w:val="000000000000" w:firstRow="0" w:lastRow="0" w:firstColumn="0" w:lastColumn="0" w:oddVBand="0" w:evenVBand="0" w:oddHBand="0" w:evenHBand="0" w:firstRowFirstColumn="0" w:firstRowLastColumn="0" w:lastRowFirstColumn="0" w:lastRowLastColumn="0"/>
            </w:pPr>
            <w:r w:rsidRPr="00EE5564">
              <w:lastRenderedPageBreak/>
              <w:t>iznākuma rādītājs “Jaunu vai modernizētu dzelzceļa sliežu garums – TEN-T” – 130 km;</w:t>
            </w:r>
          </w:p>
          <w:p w14:paraId="4F1CBB62" w14:textId="032888C3" w:rsidR="00EE5564" w:rsidRDefault="00EE5564" w:rsidP="00EE5564">
            <w:pPr>
              <w:numPr>
                <w:ilvl w:val="1"/>
                <w:numId w:val="7"/>
              </w:numPr>
              <w:ind w:hanging="728"/>
              <w:jc w:val="both"/>
              <w:cnfStyle w:val="000000000000" w:firstRow="0" w:lastRow="0" w:firstColumn="0" w:lastColumn="0" w:oddVBand="0" w:evenVBand="0" w:oddHBand="0" w:evenHBand="0" w:firstRowFirstColumn="0" w:firstRowLastColumn="0" w:lastRowFirstColumn="0" w:lastRowLastColumn="0"/>
            </w:pPr>
            <w:r w:rsidRPr="00EE5564">
              <w:t>iznākuma rādītājs “Jaunas vai modernizētas dzelzceļa stacijas un pieturas” – 40 stacijas vai pieturas;</w:t>
            </w:r>
          </w:p>
          <w:p w14:paraId="1C4D834F" w14:textId="243FA5E6" w:rsidR="00EE5564" w:rsidRPr="00EE5564" w:rsidRDefault="00EE5564" w:rsidP="00EE5564">
            <w:pPr>
              <w:numPr>
                <w:ilvl w:val="1"/>
                <w:numId w:val="7"/>
              </w:numPr>
              <w:ind w:hanging="728"/>
              <w:jc w:val="both"/>
              <w:cnfStyle w:val="000000000000" w:firstRow="0" w:lastRow="0" w:firstColumn="0" w:lastColumn="0" w:oddVBand="0" w:evenVBand="0" w:oddHBand="0" w:evenHBand="0" w:firstRowFirstColumn="0" w:firstRowLastColumn="0" w:lastRowFirstColumn="0" w:lastRowLastColumn="0"/>
            </w:pPr>
            <w:r w:rsidRPr="00EE5564">
              <w:t>rezultāta rādītājs “Laika ietaupījums no uzlabotas dzelzceļa infrastruktūras - 5 dienas gadā".</w:t>
            </w:r>
          </w:p>
          <w:p w14:paraId="2716C782" w14:textId="481F0CDD" w:rsidR="001F35F8" w:rsidRPr="00047808" w:rsidRDefault="001F35F8" w:rsidP="00EE5564">
            <w:pPr>
              <w:pStyle w:val="NoSpacing"/>
              <w:jc w:val="both"/>
              <w:cnfStyle w:val="000000000000" w:firstRow="0" w:lastRow="0" w:firstColumn="0" w:lastColumn="0" w:oddVBand="0" w:evenVBand="0" w:oddHBand="0" w:evenHBand="0" w:firstRowFirstColumn="0" w:firstRowLastColumn="0" w:lastRowFirstColumn="0" w:lastRowLastColumn="0"/>
              <w:rPr>
                <w:rFonts w:eastAsia="Times New Roman"/>
                <w:lang w:eastAsia="lv-LV"/>
              </w:rPr>
            </w:pPr>
          </w:p>
        </w:tc>
      </w:tr>
      <w:tr w:rsidR="001F35F8" w:rsidRPr="00892161" w14:paraId="092591C8" w14:textId="77777777" w:rsidTr="00893BD3">
        <w:tc>
          <w:tcPr>
            <w:cnfStyle w:val="001000000000" w:firstRow="0" w:lastRow="0" w:firstColumn="1" w:lastColumn="0" w:oddVBand="0" w:evenVBand="0" w:oddHBand="0" w:evenHBand="0" w:firstRowFirstColumn="0" w:firstRowLastColumn="0" w:lastRowFirstColumn="0" w:lastRowLastColumn="0"/>
            <w:tcW w:w="4444" w:type="dxa"/>
          </w:tcPr>
          <w:p w14:paraId="3AFA97B7" w14:textId="77777777" w:rsidR="001F35F8" w:rsidRPr="00047808" w:rsidRDefault="001F35F8" w:rsidP="001F35F8">
            <w:pPr>
              <w:numPr>
                <w:ilvl w:val="0"/>
                <w:numId w:val="1"/>
              </w:numPr>
              <w:autoSpaceDE w:val="0"/>
              <w:autoSpaceDN w:val="0"/>
              <w:ind w:left="453" w:hanging="425"/>
              <w:jc w:val="both"/>
              <w:rPr>
                <w:rFonts w:eastAsia="Times New Roman"/>
                <w:color w:val="000000"/>
                <w:lang w:eastAsia="lv-LV"/>
              </w:rPr>
            </w:pPr>
            <w:r w:rsidRPr="00047808">
              <w:rPr>
                <w:rFonts w:eastAsia="Times New Roman"/>
                <w:color w:val="000000"/>
                <w:lang w:eastAsia="lv-LV"/>
              </w:rPr>
              <w:lastRenderedPageBreak/>
              <w:t>atbalsta mērķa grupa/s (ja attiecināms).</w:t>
            </w:r>
          </w:p>
        </w:tc>
        <w:tc>
          <w:tcPr>
            <w:tcW w:w="4061" w:type="dxa"/>
          </w:tcPr>
          <w:p w14:paraId="6951FB60" w14:textId="207ED81B" w:rsidR="001F35F8" w:rsidRPr="00AA2435" w:rsidRDefault="001F35F8" w:rsidP="001F35F8">
            <w:pPr>
              <w:autoSpaceDE w:val="0"/>
              <w:autoSpaceDN w:val="0"/>
              <w:jc w:val="both"/>
              <w:cnfStyle w:val="000000000000" w:firstRow="0" w:lastRow="0" w:firstColumn="0" w:lastColumn="0" w:oddVBand="0" w:evenVBand="0" w:oddHBand="0" w:evenHBand="0" w:firstRowFirstColumn="0" w:firstRowLastColumn="0" w:lastRowFirstColumn="0" w:lastRowLastColumn="0"/>
              <w:rPr>
                <w:rFonts w:eastAsia="Times New Roman"/>
                <w:color w:val="000000"/>
                <w:lang w:eastAsia="lv-LV"/>
              </w:rPr>
            </w:pPr>
            <w:r>
              <w:rPr>
                <w:rFonts w:eastAsia="Times New Roman"/>
                <w:color w:val="000000"/>
                <w:lang w:eastAsia="lv-LV"/>
              </w:rPr>
              <w:t>Pasākum</w:t>
            </w:r>
            <w:r w:rsidR="003070C5">
              <w:rPr>
                <w:rFonts w:eastAsia="Times New Roman"/>
                <w:color w:val="000000"/>
                <w:lang w:eastAsia="lv-LV"/>
              </w:rPr>
              <w:t>u</w:t>
            </w:r>
            <w:r>
              <w:rPr>
                <w:rFonts w:eastAsia="Times New Roman"/>
                <w:color w:val="000000"/>
                <w:lang w:eastAsia="lv-LV"/>
              </w:rPr>
              <w:t xml:space="preserve"> </w:t>
            </w:r>
            <w:r w:rsidRPr="00AA2435">
              <w:t xml:space="preserve">mērķa grupa ir </w:t>
            </w:r>
            <w:r w:rsidR="003070C5">
              <w:t>dzelzceļa infrastruktūras lietotāji un ar tiem saistītie citu transporta veidu satiksmes dalībnieki.</w:t>
            </w:r>
          </w:p>
        </w:tc>
      </w:tr>
    </w:tbl>
    <w:p w14:paraId="01565B75" w14:textId="77777777" w:rsidR="00047808" w:rsidRPr="00047808" w:rsidRDefault="00047808" w:rsidP="00047808">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lv-LV" w:eastAsia="lv-LV"/>
        </w:rPr>
      </w:pPr>
    </w:p>
    <w:p w14:paraId="2753752F" w14:textId="77777777" w:rsidR="00047808" w:rsidRPr="00047808" w:rsidRDefault="00047808" w:rsidP="00047808">
      <w:pPr>
        <w:rPr>
          <w:rFonts w:ascii="Times New Roman" w:eastAsia="Calibri" w:hAnsi="Times New Roman" w:cs="Times New Roman"/>
          <w:sz w:val="24"/>
          <w:szCs w:val="24"/>
          <w:lang w:val="lv-LV"/>
        </w:rPr>
      </w:pPr>
    </w:p>
    <w:p w14:paraId="70DEBDCA" w14:textId="77777777" w:rsidR="00047808" w:rsidRPr="00AA2435" w:rsidRDefault="00047808">
      <w:pPr>
        <w:rPr>
          <w:lang w:val="lv-LV"/>
        </w:rPr>
      </w:pPr>
    </w:p>
    <w:sectPr w:rsidR="00047808" w:rsidRPr="00AA2435">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147E8" w14:textId="77777777" w:rsidR="007B2503" w:rsidRDefault="007B2503" w:rsidP="00047808">
      <w:pPr>
        <w:spacing w:after="0" w:line="240" w:lineRule="auto"/>
      </w:pPr>
      <w:r>
        <w:separator/>
      </w:r>
    </w:p>
  </w:endnote>
  <w:endnote w:type="continuationSeparator" w:id="0">
    <w:p w14:paraId="607D4B10" w14:textId="77777777" w:rsidR="007B2503" w:rsidRDefault="007B2503" w:rsidP="0004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Klee One"/>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252813"/>
      <w:docPartObj>
        <w:docPartGallery w:val="Page Numbers (Bottom of Page)"/>
        <w:docPartUnique/>
      </w:docPartObj>
    </w:sdtPr>
    <w:sdtEndPr>
      <w:rPr>
        <w:noProof/>
      </w:rPr>
    </w:sdtEndPr>
    <w:sdtContent>
      <w:p w14:paraId="0576DB33" w14:textId="45734036" w:rsidR="009B2F50" w:rsidRDefault="009B2F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ED6A61" w14:textId="77777777" w:rsidR="009B2F50" w:rsidRDefault="009B2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AA729" w14:textId="77777777" w:rsidR="007B2503" w:rsidRDefault="007B2503" w:rsidP="00047808">
      <w:pPr>
        <w:spacing w:after="0" w:line="240" w:lineRule="auto"/>
      </w:pPr>
      <w:r>
        <w:separator/>
      </w:r>
    </w:p>
  </w:footnote>
  <w:footnote w:type="continuationSeparator" w:id="0">
    <w:p w14:paraId="7F62E476" w14:textId="77777777" w:rsidR="007B2503" w:rsidRDefault="007B2503" w:rsidP="00047808">
      <w:pPr>
        <w:spacing w:after="0" w:line="240" w:lineRule="auto"/>
      </w:pPr>
      <w:r>
        <w:continuationSeparator/>
      </w:r>
    </w:p>
  </w:footnote>
  <w:footnote w:id="1">
    <w:p w14:paraId="47C34B04" w14:textId="77777777" w:rsidR="00047808" w:rsidRDefault="00047808" w:rsidP="00047808">
      <w:pPr>
        <w:pStyle w:val="FootnoteText"/>
      </w:pPr>
      <w:r>
        <w:rPr>
          <w:rStyle w:val="FootnoteReference"/>
        </w:rPr>
        <w:footnoteRef/>
      </w:r>
      <w:r>
        <w:t xml:space="preserve"> Saskaņā ar Eiropas Reģionālās attīstības fonda, Eiropas Sociālā fonda plus, </w:t>
      </w:r>
      <w:r w:rsidRPr="00D61C1A">
        <w:t>Kohēzijas fonda un Taisnīgas pārkārtošanās fonda projektu iesniegumu atlases metodikas 2021.–2027.gadam 18.punktu.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34DA"/>
    <w:multiLevelType w:val="hybridMultilevel"/>
    <w:tmpl w:val="378E97AC"/>
    <w:lvl w:ilvl="0" w:tplc="08090011">
      <w:start w:val="1"/>
      <w:numFmt w:val="decimal"/>
      <w:lvlText w:val="%1)"/>
      <w:lvlJc w:val="left"/>
      <w:pPr>
        <w:ind w:left="-1842" w:hanging="360"/>
      </w:pPr>
    </w:lvl>
    <w:lvl w:ilvl="1" w:tplc="08090019">
      <w:start w:val="1"/>
      <w:numFmt w:val="lowerLetter"/>
      <w:lvlText w:val="%2."/>
      <w:lvlJc w:val="left"/>
      <w:pPr>
        <w:ind w:left="-1122" w:hanging="360"/>
      </w:pPr>
    </w:lvl>
    <w:lvl w:ilvl="2" w:tplc="0809001B">
      <w:start w:val="1"/>
      <w:numFmt w:val="lowerRoman"/>
      <w:lvlText w:val="%3."/>
      <w:lvlJc w:val="right"/>
      <w:pPr>
        <w:ind w:left="-402" w:hanging="180"/>
      </w:pPr>
    </w:lvl>
    <w:lvl w:ilvl="3" w:tplc="0809000F">
      <w:start w:val="1"/>
      <w:numFmt w:val="decimal"/>
      <w:lvlText w:val="%4."/>
      <w:lvlJc w:val="left"/>
      <w:pPr>
        <w:ind w:left="318" w:hanging="360"/>
      </w:pPr>
    </w:lvl>
    <w:lvl w:ilvl="4" w:tplc="08090019">
      <w:start w:val="1"/>
      <w:numFmt w:val="lowerLetter"/>
      <w:lvlText w:val="%5."/>
      <w:lvlJc w:val="left"/>
      <w:pPr>
        <w:ind w:left="1038" w:hanging="360"/>
      </w:pPr>
    </w:lvl>
    <w:lvl w:ilvl="5" w:tplc="0809001B">
      <w:start w:val="1"/>
      <w:numFmt w:val="lowerRoman"/>
      <w:lvlText w:val="%6."/>
      <w:lvlJc w:val="right"/>
      <w:pPr>
        <w:ind w:left="1758" w:hanging="180"/>
      </w:pPr>
    </w:lvl>
    <w:lvl w:ilvl="6" w:tplc="0809000F">
      <w:start w:val="1"/>
      <w:numFmt w:val="decimal"/>
      <w:lvlText w:val="%7."/>
      <w:lvlJc w:val="left"/>
      <w:pPr>
        <w:ind w:left="2478" w:hanging="360"/>
      </w:pPr>
    </w:lvl>
    <w:lvl w:ilvl="7" w:tplc="08090019">
      <w:start w:val="1"/>
      <w:numFmt w:val="lowerLetter"/>
      <w:lvlText w:val="%8."/>
      <w:lvlJc w:val="left"/>
      <w:pPr>
        <w:ind w:left="3198" w:hanging="360"/>
      </w:pPr>
    </w:lvl>
    <w:lvl w:ilvl="8" w:tplc="0809001B">
      <w:start w:val="1"/>
      <w:numFmt w:val="lowerRoman"/>
      <w:lvlText w:val="%9."/>
      <w:lvlJc w:val="right"/>
      <w:pPr>
        <w:ind w:left="3918" w:hanging="180"/>
      </w:pPr>
    </w:lvl>
  </w:abstractNum>
  <w:abstractNum w:abstractNumId="1" w15:restartNumberingAfterBreak="0">
    <w:nsid w:val="2A5A057D"/>
    <w:multiLevelType w:val="hybridMultilevel"/>
    <w:tmpl w:val="60121B10"/>
    <w:lvl w:ilvl="0" w:tplc="D2548442">
      <w:start w:val="1"/>
      <w:numFmt w:val="bullet"/>
      <w:lvlRestart w:val="0"/>
      <w:lvlText w:val=""/>
      <w:lvlJc w:val="left"/>
      <w:pPr>
        <w:ind w:left="0" w:firstLine="705"/>
      </w:pPr>
      <w:rPr>
        <w:u w:val="none"/>
      </w:rPr>
    </w:lvl>
    <w:lvl w:ilvl="1" w:tplc="9A9AA88E">
      <w:start w:val="1"/>
      <w:numFmt w:val="decimal"/>
      <w:lvlRestart w:val="0"/>
      <w:lvlText w:val="%2)"/>
      <w:lvlJc w:val="left"/>
      <w:pPr>
        <w:ind w:left="0" w:firstLine="705"/>
      </w:pPr>
      <w:rPr>
        <w:rFonts w:ascii="Times New Roman" w:eastAsiaTheme="minorHAnsi" w:hAnsi="Times New Roman" w:cs="Times New Roman"/>
        <w:u w:val="none"/>
      </w:rPr>
    </w:lvl>
    <w:lvl w:ilvl="2" w:tplc="76E012F4">
      <w:numFmt w:val="decimal"/>
      <w:lvlText w:val=""/>
      <w:lvlJc w:val="left"/>
    </w:lvl>
    <w:lvl w:ilvl="3" w:tplc="5B3436BE">
      <w:numFmt w:val="decimal"/>
      <w:lvlText w:val=""/>
      <w:lvlJc w:val="left"/>
    </w:lvl>
    <w:lvl w:ilvl="4" w:tplc="874E20CA">
      <w:numFmt w:val="decimal"/>
      <w:lvlText w:val=""/>
      <w:lvlJc w:val="left"/>
    </w:lvl>
    <w:lvl w:ilvl="5" w:tplc="6340FD2C">
      <w:numFmt w:val="decimal"/>
      <w:lvlText w:val=""/>
      <w:lvlJc w:val="left"/>
    </w:lvl>
    <w:lvl w:ilvl="6" w:tplc="4DF4FD7E">
      <w:numFmt w:val="decimal"/>
      <w:lvlText w:val=""/>
      <w:lvlJc w:val="left"/>
    </w:lvl>
    <w:lvl w:ilvl="7" w:tplc="92DEFC8C">
      <w:numFmt w:val="decimal"/>
      <w:lvlText w:val=""/>
      <w:lvlJc w:val="left"/>
    </w:lvl>
    <w:lvl w:ilvl="8" w:tplc="25FCAAF0">
      <w:numFmt w:val="decimal"/>
      <w:lvlText w:val=""/>
      <w:lvlJc w:val="left"/>
    </w:lvl>
  </w:abstractNum>
  <w:abstractNum w:abstractNumId="2" w15:restartNumberingAfterBreak="0">
    <w:nsid w:val="2EBC2CE7"/>
    <w:multiLevelType w:val="hybridMultilevel"/>
    <w:tmpl w:val="AD145434"/>
    <w:lvl w:ilvl="0" w:tplc="C3D6A3F6">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15:restartNumberingAfterBreak="0">
    <w:nsid w:val="2F4943F5"/>
    <w:multiLevelType w:val="hybridMultilevel"/>
    <w:tmpl w:val="52608E78"/>
    <w:lvl w:ilvl="0" w:tplc="5F1AD8C4">
      <w:start w:val="1"/>
      <w:numFmt w:val="decimal"/>
      <w:lvlText w:val="%1)"/>
      <w:lvlJc w:val="left"/>
      <w:pPr>
        <w:ind w:left="720" w:hanging="360"/>
      </w:pPr>
      <w:rPr>
        <w:rFonts w:ascii="Verdana" w:eastAsiaTheme="minorHAnsi" w:hAnsi="Verdana" w:hint="default"/>
        <w:color w:val="525252"/>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147DCA"/>
    <w:multiLevelType w:val="hybridMultilevel"/>
    <w:tmpl w:val="270205CE"/>
    <w:lvl w:ilvl="0" w:tplc="F3628CC0">
      <w:start w:val="1"/>
      <w:numFmt w:val="decimal"/>
      <w:lvlText w:val="%1)"/>
      <w:lvlJc w:val="left"/>
      <w:pPr>
        <w:ind w:left="1712" w:hanging="360"/>
      </w:pPr>
      <w:rPr>
        <w:rFonts w:ascii="Calibri" w:eastAsia="ヒラギノ角ゴ Pro W3" w:hAnsi="Calibri" w:cs="Times New Roman"/>
      </w:rPr>
    </w:lvl>
    <w:lvl w:ilvl="1" w:tplc="04260019" w:tentative="1">
      <w:start w:val="1"/>
      <w:numFmt w:val="lowerLetter"/>
      <w:lvlText w:val="%2."/>
      <w:lvlJc w:val="left"/>
      <w:pPr>
        <w:ind w:left="2432" w:hanging="360"/>
      </w:pPr>
    </w:lvl>
    <w:lvl w:ilvl="2" w:tplc="0426001B" w:tentative="1">
      <w:start w:val="1"/>
      <w:numFmt w:val="lowerRoman"/>
      <w:lvlText w:val="%3."/>
      <w:lvlJc w:val="right"/>
      <w:pPr>
        <w:ind w:left="3152" w:hanging="180"/>
      </w:pPr>
    </w:lvl>
    <w:lvl w:ilvl="3" w:tplc="0426000F" w:tentative="1">
      <w:start w:val="1"/>
      <w:numFmt w:val="decimal"/>
      <w:lvlText w:val="%4."/>
      <w:lvlJc w:val="left"/>
      <w:pPr>
        <w:ind w:left="3872" w:hanging="360"/>
      </w:pPr>
    </w:lvl>
    <w:lvl w:ilvl="4" w:tplc="04260019" w:tentative="1">
      <w:start w:val="1"/>
      <w:numFmt w:val="lowerLetter"/>
      <w:lvlText w:val="%5."/>
      <w:lvlJc w:val="left"/>
      <w:pPr>
        <w:ind w:left="4592" w:hanging="360"/>
      </w:pPr>
    </w:lvl>
    <w:lvl w:ilvl="5" w:tplc="0426001B" w:tentative="1">
      <w:start w:val="1"/>
      <w:numFmt w:val="lowerRoman"/>
      <w:lvlText w:val="%6."/>
      <w:lvlJc w:val="right"/>
      <w:pPr>
        <w:ind w:left="5312" w:hanging="180"/>
      </w:pPr>
    </w:lvl>
    <w:lvl w:ilvl="6" w:tplc="0426000F" w:tentative="1">
      <w:start w:val="1"/>
      <w:numFmt w:val="decimal"/>
      <w:lvlText w:val="%7."/>
      <w:lvlJc w:val="left"/>
      <w:pPr>
        <w:ind w:left="6032" w:hanging="360"/>
      </w:pPr>
    </w:lvl>
    <w:lvl w:ilvl="7" w:tplc="04260019" w:tentative="1">
      <w:start w:val="1"/>
      <w:numFmt w:val="lowerLetter"/>
      <w:lvlText w:val="%8."/>
      <w:lvlJc w:val="left"/>
      <w:pPr>
        <w:ind w:left="6752" w:hanging="360"/>
      </w:pPr>
    </w:lvl>
    <w:lvl w:ilvl="8" w:tplc="0426001B" w:tentative="1">
      <w:start w:val="1"/>
      <w:numFmt w:val="lowerRoman"/>
      <w:lvlText w:val="%9."/>
      <w:lvlJc w:val="right"/>
      <w:pPr>
        <w:ind w:left="7472" w:hanging="180"/>
      </w:pPr>
    </w:lvl>
  </w:abstractNum>
  <w:abstractNum w:abstractNumId="5" w15:restartNumberingAfterBreak="0">
    <w:nsid w:val="5345412C"/>
    <w:multiLevelType w:val="hybridMultilevel"/>
    <w:tmpl w:val="DB8AE178"/>
    <w:lvl w:ilvl="0" w:tplc="93326772">
      <w:start w:val="1"/>
      <w:numFmt w:val="decimal"/>
      <w:lvlText w:val="%1)"/>
      <w:lvlJc w:val="left"/>
      <w:pPr>
        <w:ind w:left="0" w:firstLine="705"/>
      </w:pPr>
      <w:rPr>
        <w:rFonts w:ascii="Times New Roman" w:eastAsiaTheme="minorHAnsi" w:hAnsi="Times New Roman" w:cs="Times New Roman"/>
        <w:strike w:val="0"/>
        <w:dstrike w:val="0"/>
        <w:u w:val="none"/>
        <w:effect w:val="none"/>
      </w:rPr>
    </w:lvl>
    <w:lvl w:ilvl="1" w:tplc="08090001">
      <w:start w:val="1"/>
      <w:numFmt w:val="bullet"/>
      <w:lvlText w:val=""/>
      <w:lvlJc w:val="left"/>
      <w:pPr>
        <w:ind w:left="785" w:hanging="360"/>
      </w:pPr>
      <w:rPr>
        <w:rFonts w:ascii="Symbol" w:hAnsi="Symbol" w:hint="default"/>
      </w:rPr>
    </w:lvl>
    <w:lvl w:ilvl="2" w:tplc="761210A0">
      <w:numFmt w:val="decimal"/>
      <w:lvlText w:val=""/>
      <w:lvlJc w:val="left"/>
      <w:pPr>
        <w:ind w:left="0" w:firstLine="0"/>
      </w:pPr>
    </w:lvl>
    <w:lvl w:ilvl="3" w:tplc="43A0A786">
      <w:numFmt w:val="decimal"/>
      <w:lvlText w:val=""/>
      <w:lvlJc w:val="left"/>
      <w:pPr>
        <w:ind w:left="0" w:firstLine="0"/>
      </w:pPr>
    </w:lvl>
    <w:lvl w:ilvl="4" w:tplc="36F6084E">
      <w:numFmt w:val="decimal"/>
      <w:lvlText w:val=""/>
      <w:lvlJc w:val="left"/>
      <w:pPr>
        <w:ind w:left="0" w:firstLine="0"/>
      </w:pPr>
    </w:lvl>
    <w:lvl w:ilvl="5" w:tplc="F90CD4C4">
      <w:numFmt w:val="decimal"/>
      <w:lvlText w:val=""/>
      <w:lvlJc w:val="left"/>
      <w:pPr>
        <w:ind w:left="0" w:firstLine="0"/>
      </w:pPr>
    </w:lvl>
    <w:lvl w:ilvl="6" w:tplc="110404DA">
      <w:numFmt w:val="decimal"/>
      <w:lvlText w:val=""/>
      <w:lvlJc w:val="left"/>
      <w:pPr>
        <w:ind w:left="0" w:firstLine="0"/>
      </w:pPr>
    </w:lvl>
    <w:lvl w:ilvl="7" w:tplc="68784A34">
      <w:numFmt w:val="decimal"/>
      <w:lvlText w:val=""/>
      <w:lvlJc w:val="left"/>
      <w:pPr>
        <w:ind w:left="0" w:firstLine="0"/>
      </w:pPr>
    </w:lvl>
    <w:lvl w:ilvl="8" w:tplc="3FC26D7C">
      <w:numFmt w:val="decimal"/>
      <w:lvlText w:val=""/>
      <w:lvlJc w:val="left"/>
      <w:pPr>
        <w:ind w:left="0" w:firstLine="0"/>
      </w:pPr>
    </w:lvl>
  </w:abstractNum>
  <w:abstractNum w:abstractNumId="6" w15:restartNumberingAfterBreak="0">
    <w:nsid w:val="6E270A74"/>
    <w:multiLevelType w:val="hybridMultilevel"/>
    <w:tmpl w:val="59B25B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7B7692"/>
    <w:multiLevelType w:val="hybridMultilevel"/>
    <w:tmpl w:val="282A457E"/>
    <w:lvl w:ilvl="0" w:tplc="59822F34">
      <w:start w:val="1"/>
      <w:numFmt w:val="bullet"/>
      <w:lvlRestart w:val="0"/>
      <w:lvlText w:val=""/>
      <w:lvlJc w:val="left"/>
      <w:pPr>
        <w:ind w:left="0" w:firstLine="705"/>
      </w:pPr>
      <w:rPr>
        <w:u w:val="none"/>
      </w:rPr>
    </w:lvl>
    <w:lvl w:ilvl="1" w:tplc="6082EFFE">
      <w:start w:val="1"/>
      <w:numFmt w:val="bullet"/>
      <w:lvlRestart w:val="0"/>
      <w:lvlText w:val=""/>
      <w:lvlJc w:val="left"/>
      <w:pPr>
        <w:ind w:left="0" w:firstLine="705"/>
      </w:pPr>
      <w:rPr>
        <w:u w:val="none"/>
      </w:rPr>
    </w:lvl>
    <w:lvl w:ilvl="2" w:tplc="89642DBA">
      <w:start w:val="1"/>
      <w:numFmt w:val="bullet"/>
      <w:lvlRestart w:val="1"/>
      <w:lvlText w:val=""/>
      <w:lvlJc w:val="left"/>
      <w:pPr>
        <w:ind w:left="0" w:firstLine="705"/>
      </w:pPr>
      <w:rPr>
        <w:u w:val="none"/>
      </w:rPr>
    </w:lvl>
    <w:lvl w:ilvl="3" w:tplc="7DB86080">
      <w:numFmt w:val="decimal"/>
      <w:lvlText w:val=""/>
      <w:lvlJc w:val="left"/>
    </w:lvl>
    <w:lvl w:ilvl="4" w:tplc="8B74426C">
      <w:numFmt w:val="decimal"/>
      <w:lvlText w:val=""/>
      <w:lvlJc w:val="left"/>
    </w:lvl>
    <w:lvl w:ilvl="5" w:tplc="A95CA760">
      <w:numFmt w:val="decimal"/>
      <w:lvlText w:val=""/>
      <w:lvlJc w:val="left"/>
    </w:lvl>
    <w:lvl w:ilvl="6" w:tplc="B18CCEF8">
      <w:numFmt w:val="decimal"/>
      <w:lvlText w:val=""/>
      <w:lvlJc w:val="left"/>
    </w:lvl>
    <w:lvl w:ilvl="7" w:tplc="AF7EFA8E">
      <w:numFmt w:val="decimal"/>
      <w:lvlText w:val=""/>
      <w:lvlJc w:val="left"/>
    </w:lvl>
    <w:lvl w:ilvl="8" w:tplc="CDA830BC">
      <w:numFmt w:val="decimal"/>
      <w:lvlText w:val=""/>
      <w:lvlJc w:val="left"/>
    </w:lvl>
  </w:abstractNum>
  <w:num w:numId="1" w16cid:durableId="706832212">
    <w:abstractNumId w:val="0"/>
  </w:num>
  <w:num w:numId="2" w16cid:durableId="1951084144">
    <w:abstractNumId w:val="1"/>
  </w:num>
  <w:num w:numId="3" w16cid:durableId="1753117773">
    <w:abstractNumId w:val="7"/>
  </w:num>
  <w:num w:numId="4" w16cid:durableId="748964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2196990">
    <w:abstractNumId w:val="4"/>
  </w:num>
  <w:num w:numId="6" w16cid:durableId="1934165710">
    <w:abstractNumId w:val="3"/>
  </w:num>
  <w:num w:numId="7" w16cid:durableId="1433431987">
    <w:abstractNumId w:val="5"/>
  </w:num>
  <w:num w:numId="8" w16cid:durableId="2116486231">
    <w:abstractNumId w:val="6"/>
  </w:num>
  <w:num w:numId="9" w16cid:durableId="285159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8"/>
    <w:rsid w:val="000121B3"/>
    <w:rsid w:val="00047808"/>
    <w:rsid w:val="00057353"/>
    <w:rsid w:val="00082FD4"/>
    <w:rsid w:val="00083ABB"/>
    <w:rsid w:val="00117374"/>
    <w:rsid w:val="00157FDA"/>
    <w:rsid w:val="00167273"/>
    <w:rsid w:val="00180B8E"/>
    <w:rsid w:val="001C0999"/>
    <w:rsid w:val="001D0DB0"/>
    <w:rsid w:val="001F35F8"/>
    <w:rsid w:val="002E4CF4"/>
    <w:rsid w:val="002E7D51"/>
    <w:rsid w:val="003070C5"/>
    <w:rsid w:val="003852A3"/>
    <w:rsid w:val="003C4EE8"/>
    <w:rsid w:val="003F6B2B"/>
    <w:rsid w:val="00421D27"/>
    <w:rsid w:val="00435F70"/>
    <w:rsid w:val="004B3FD7"/>
    <w:rsid w:val="004D1C07"/>
    <w:rsid w:val="00543022"/>
    <w:rsid w:val="00567D4B"/>
    <w:rsid w:val="005B55A4"/>
    <w:rsid w:val="005E50EA"/>
    <w:rsid w:val="0065005D"/>
    <w:rsid w:val="0065394F"/>
    <w:rsid w:val="00694CF2"/>
    <w:rsid w:val="006A01C9"/>
    <w:rsid w:val="006A130D"/>
    <w:rsid w:val="006C7466"/>
    <w:rsid w:val="0073579C"/>
    <w:rsid w:val="00744CD7"/>
    <w:rsid w:val="00756FEA"/>
    <w:rsid w:val="007A0DB2"/>
    <w:rsid w:val="007B2503"/>
    <w:rsid w:val="00853B8B"/>
    <w:rsid w:val="008753C2"/>
    <w:rsid w:val="0088198B"/>
    <w:rsid w:val="00892161"/>
    <w:rsid w:val="008A0218"/>
    <w:rsid w:val="008D5DEE"/>
    <w:rsid w:val="009552FD"/>
    <w:rsid w:val="009B2F50"/>
    <w:rsid w:val="00A90511"/>
    <w:rsid w:val="00AA1746"/>
    <w:rsid w:val="00AA2435"/>
    <w:rsid w:val="00AB558F"/>
    <w:rsid w:val="00AD13E7"/>
    <w:rsid w:val="00AD62C7"/>
    <w:rsid w:val="00B227B7"/>
    <w:rsid w:val="00CA48A6"/>
    <w:rsid w:val="00CC50D7"/>
    <w:rsid w:val="00CD7A33"/>
    <w:rsid w:val="00CE4F13"/>
    <w:rsid w:val="00D1086C"/>
    <w:rsid w:val="00D659F6"/>
    <w:rsid w:val="00DA1C58"/>
    <w:rsid w:val="00E418D0"/>
    <w:rsid w:val="00E4556E"/>
    <w:rsid w:val="00EE5564"/>
    <w:rsid w:val="00F061A0"/>
    <w:rsid w:val="00F1025B"/>
    <w:rsid w:val="00F35255"/>
    <w:rsid w:val="00F507FE"/>
    <w:rsid w:val="00FB6032"/>
    <w:rsid w:val="00FE5354"/>
    <w:rsid w:val="00FE5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E672"/>
  <w15:chartTrackingRefBased/>
  <w15:docId w15:val="{71D7759A-786A-4F91-A98F-E66341C4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Char10"/>
    <w:basedOn w:val="Normal"/>
    <w:link w:val="FootnoteTextChar"/>
    <w:uiPriority w:val="99"/>
    <w:unhideWhenUsed/>
    <w:qFormat/>
    <w:rsid w:val="00047808"/>
    <w:pPr>
      <w:spacing w:after="0" w:line="240" w:lineRule="auto"/>
    </w:pPr>
    <w:rPr>
      <w:rFonts w:ascii="Times New Roman" w:hAnsi="Times New Roman" w:cs="Times New Roman"/>
      <w:sz w:val="20"/>
      <w:szCs w:val="20"/>
      <w:lang w:val="lv-LV"/>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sid w:val="00047808"/>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047808"/>
    <w:rPr>
      <w:vertAlign w:val="superscript"/>
    </w:rPr>
  </w:style>
  <w:style w:type="table" w:customStyle="1" w:styleId="GridTable1Light-Accent11">
    <w:name w:val="Grid Table 1 Light - Accent 11"/>
    <w:basedOn w:val="TableNormal"/>
    <w:next w:val="GridTable1Light-Accent1"/>
    <w:uiPriority w:val="46"/>
    <w:rsid w:val="00047808"/>
    <w:pPr>
      <w:spacing w:after="0" w:line="240" w:lineRule="auto"/>
    </w:pPr>
    <w:rPr>
      <w:rFonts w:ascii="Times New Roman" w:hAnsi="Times New Roman" w:cs="Times New Roman"/>
      <w:sz w:val="24"/>
      <w:szCs w:val="24"/>
      <w:lang w:val="lv-L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780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A2435"/>
    <w:pPr>
      <w:spacing w:after="0" w:line="240" w:lineRule="auto"/>
      <w:ind w:left="720"/>
      <w:contextualSpacing/>
      <w:jc w:val="both"/>
    </w:pPr>
    <w:rPr>
      <w:rFonts w:ascii="Times New Roman" w:eastAsia="Times New Roman" w:hAnsi="Times New Roman" w:cs="Times New Roman"/>
      <w:color w:val="333333"/>
      <w:sz w:val="28"/>
      <w:szCs w:val="20"/>
      <w:lang w:val="lv-LV" w:eastAsia="lv-LV"/>
    </w:rPr>
  </w:style>
  <w:style w:type="character" w:styleId="CommentReference">
    <w:name w:val="annotation reference"/>
    <w:basedOn w:val="DefaultParagraphFont"/>
    <w:uiPriority w:val="99"/>
    <w:semiHidden/>
    <w:unhideWhenUsed/>
    <w:rsid w:val="00AA2435"/>
    <w:rPr>
      <w:sz w:val="16"/>
      <w:szCs w:val="16"/>
    </w:rPr>
  </w:style>
  <w:style w:type="paragraph" w:styleId="CommentText">
    <w:name w:val="annotation text"/>
    <w:basedOn w:val="Normal"/>
    <w:link w:val="CommentTextChar"/>
    <w:uiPriority w:val="99"/>
    <w:unhideWhenUsed/>
    <w:rsid w:val="00AA2435"/>
    <w:pPr>
      <w:spacing w:after="0" w:line="240" w:lineRule="auto"/>
      <w:jc w:val="both"/>
    </w:pPr>
    <w:rPr>
      <w:rFonts w:ascii="Times New Roman" w:eastAsia="Times New Roman" w:hAnsi="Times New Roman" w:cs="Times New Roman"/>
      <w:color w:val="333333"/>
      <w:sz w:val="20"/>
      <w:szCs w:val="20"/>
      <w:lang w:val="lv-LV" w:eastAsia="lv-LV"/>
    </w:rPr>
  </w:style>
  <w:style w:type="character" w:customStyle="1" w:styleId="CommentTextChar">
    <w:name w:val="Comment Text Char"/>
    <w:basedOn w:val="DefaultParagraphFont"/>
    <w:link w:val="CommentText"/>
    <w:uiPriority w:val="99"/>
    <w:rsid w:val="00AA2435"/>
    <w:rPr>
      <w:rFonts w:ascii="Times New Roman" w:eastAsia="Times New Roman" w:hAnsi="Times New Roman" w:cs="Times New Roman"/>
      <w:color w:val="333333"/>
      <w:sz w:val="20"/>
      <w:szCs w:val="20"/>
      <w:lang w:val="lv-LV" w:eastAsia="lv-LV"/>
    </w:rPr>
  </w:style>
  <w:style w:type="paragraph" w:styleId="Revision">
    <w:name w:val="Revision"/>
    <w:hidden/>
    <w:uiPriority w:val="99"/>
    <w:semiHidden/>
    <w:rsid w:val="00AB558F"/>
    <w:pPr>
      <w:spacing w:after="0" w:line="240" w:lineRule="auto"/>
    </w:pPr>
  </w:style>
  <w:style w:type="paragraph" w:styleId="NoSpacing">
    <w:name w:val="No Spacing"/>
    <w:uiPriority w:val="1"/>
    <w:qFormat/>
    <w:rsid w:val="003070C5"/>
    <w:pPr>
      <w:spacing w:after="0" w:line="240" w:lineRule="auto"/>
    </w:pPr>
    <w:rPr>
      <w:rFonts w:ascii="Calibri" w:eastAsia="ヒラギノ角ゴ Pro W3" w:hAnsi="Calibri" w:cs="Times New Roman"/>
      <w:color w:val="000000"/>
      <w:szCs w:val="24"/>
      <w:lang w:val="lv-LV"/>
    </w:rPr>
  </w:style>
  <w:style w:type="paragraph" w:styleId="CommentSubject">
    <w:name w:val="annotation subject"/>
    <w:basedOn w:val="CommentText"/>
    <w:next w:val="CommentText"/>
    <w:link w:val="CommentSubjectChar"/>
    <w:uiPriority w:val="99"/>
    <w:semiHidden/>
    <w:unhideWhenUsed/>
    <w:rsid w:val="007A0DB2"/>
    <w:pPr>
      <w:spacing w:after="160"/>
      <w:jc w:val="left"/>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7A0DB2"/>
    <w:rPr>
      <w:rFonts w:ascii="Times New Roman" w:eastAsia="Times New Roman" w:hAnsi="Times New Roman" w:cs="Times New Roman"/>
      <w:b/>
      <w:bCs/>
      <w:color w:val="333333"/>
      <w:sz w:val="20"/>
      <w:szCs w:val="20"/>
      <w:lang w:val="lv-LV" w:eastAsia="lv-LV"/>
    </w:rPr>
  </w:style>
  <w:style w:type="character" w:styleId="Emphasis">
    <w:name w:val="Emphasis"/>
    <w:basedOn w:val="DefaultParagraphFont"/>
    <w:uiPriority w:val="20"/>
    <w:qFormat/>
    <w:rsid w:val="003C4EE8"/>
    <w:rPr>
      <w:i/>
      <w:iCs/>
    </w:rPr>
  </w:style>
  <w:style w:type="paragraph" w:styleId="Header">
    <w:name w:val="header"/>
    <w:basedOn w:val="Normal"/>
    <w:link w:val="HeaderChar"/>
    <w:uiPriority w:val="99"/>
    <w:unhideWhenUsed/>
    <w:rsid w:val="009B2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F50"/>
  </w:style>
  <w:style w:type="paragraph" w:styleId="Footer">
    <w:name w:val="footer"/>
    <w:basedOn w:val="Normal"/>
    <w:link w:val="FooterChar"/>
    <w:uiPriority w:val="99"/>
    <w:unhideWhenUsed/>
    <w:rsid w:val="009B2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F50"/>
  </w:style>
  <w:style w:type="character" w:customStyle="1" w:styleId="scayt-misspell-word">
    <w:name w:val="scayt-misspell-word"/>
    <w:basedOn w:val="DefaultParagraphFont"/>
    <w:rsid w:val="0085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2775">
      <w:bodyDiv w:val="1"/>
      <w:marLeft w:val="0"/>
      <w:marRight w:val="0"/>
      <w:marTop w:val="0"/>
      <w:marBottom w:val="0"/>
      <w:divBdr>
        <w:top w:val="none" w:sz="0" w:space="0" w:color="auto"/>
        <w:left w:val="none" w:sz="0" w:space="0" w:color="auto"/>
        <w:bottom w:val="none" w:sz="0" w:space="0" w:color="auto"/>
        <w:right w:val="none" w:sz="0" w:space="0" w:color="auto"/>
      </w:divBdr>
    </w:div>
    <w:div w:id="55209925">
      <w:bodyDiv w:val="1"/>
      <w:marLeft w:val="0"/>
      <w:marRight w:val="0"/>
      <w:marTop w:val="0"/>
      <w:marBottom w:val="0"/>
      <w:divBdr>
        <w:top w:val="none" w:sz="0" w:space="0" w:color="auto"/>
        <w:left w:val="none" w:sz="0" w:space="0" w:color="auto"/>
        <w:bottom w:val="none" w:sz="0" w:space="0" w:color="auto"/>
        <w:right w:val="none" w:sz="0" w:space="0" w:color="auto"/>
      </w:divBdr>
    </w:div>
    <w:div w:id="631833048">
      <w:bodyDiv w:val="1"/>
      <w:marLeft w:val="0"/>
      <w:marRight w:val="0"/>
      <w:marTop w:val="0"/>
      <w:marBottom w:val="0"/>
      <w:divBdr>
        <w:top w:val="none" w:sz="0" w:space="0" w:color="auto"/>
        <w:left w:val="none" w:sz="0" w:space="0" w:color="auto"/>
        <w:bottom w:val="none" w:sz="0" w:space="0" w:color="auto"/>
        <w:right w:val="none" w:sz="0" w:space="0" w:color="auto"/>
      </w:divBdr>
    </w:div>
    <w:div w:id="1455253671">
      <w:bodyDiv w:val="1"/>
      <w:marLeft w:val="0"/>
      <w:marRight w:val="0"/>
      <w:marTop w:val="0"/>
      <w:marBottom w:val="0"/>
      <w:divBdr>
        <w:top w:val="none" w:sz="0" w:space="0" w:color="auto"/>
        <w:left w:val="none" w:sz="0" w:space="0" w:color="auto"/>
        <w:bottom w:val="none" w:sz="0" w:space="0" w:color="auto"/>
        <w:right w:val="none" w:sz="0" w:space="0" w:color="auto"/>
      </w:divBdr>
    </w:div>
    <w:div w:id="16542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DF8C251AF34A447BFD2F3BD3F26FC12" ma:contentTypeVersion="2" ma:contentTypeDescription="Izveidot jaunu dokumentu." ma:contentTypeScope="" ma:versionID="97b8c37af998a7f7b3fa7511b09bc872">
  <xsd:schema xmlns:xsd="http://www.w3.org/2001/XMLSchema" xmlns:xs="http://www.w3.org/2001/XMLSchema" xmlns:p="http://schemas.microsoft.com/office/2006/metadata/properties" xmlns:ns1="http://schemas.microsoft.com/sharepoint/v3" xmlns:ns2="77e00514-dc0c-452b-8b17-bc72170c7812" targetNamespace="http://schemas.microsoft.com/office/2006/metadata/properties" ma:root="true" ma:fieldsID="994a6e15080c15f96c90882d21cc6dcb" ns1:_="" ns2:_="">
    <xsd:import namespace="http://schemas.microsoft.com/sharepoint/v3"/>
    <xsd:import namespace="77e00514-dc0c-452b-8b17-bc72170c7812"/>
    <xsd:element name="properties">
      <xsd:complexType>
        <xsd:sequence>
          <xsd:element name="documentManagement">
            <xsd:complexType>
              <xsd:all>
                <xsd:element ref="ns1:PublishingStartDate" minOccurs="0"/>
                <xsd:element ref="ns1:PublishingExpirationDate" minOccurs="0"/>
                <xsd:element ref="ns2:K_x0101_rtas_x0020_num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9"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e00514-dc0c-452b-8b17-bc72170c7812" elementFormDefault="qualified">
    <xsd:import namespace="http://schemas.microsoft.com/office/2006/documentManagement/types"/>
    <xsd:import namespace="http://schemas.microsoft.com/office/infopath/2007/PartnerControls"/>
    <xsd:element name="K_x0101_rtas_x0020_numurs" ma:index="10" nillable="true" ma:displayName="Kārtas numurs" ma:indexed="true" ma:internalName="K_x0101_rtas_x0020_numur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K_x0101_rtas_x0020_numurs xmlns="77e00514-dc0c-452b-8b17-bc72170c7812" xsi:nil="true"/>
    <PublishingStartDate xmlns="http://schemas.microsoft.com/sharepoint/v3" xsi:nil="true"/>
  </documentManagement>
</p:properties>
</file>

<file path=customXml/itemProps1.xml><?xml version="1.0" encoding="utf-8"?>
<ds:datastoreItem xmlns:ds="http://schemas.openxmlformats.org/officeDocument/2006/customXml" ds:itemID="{2ED0AA0D-C0B7-4C47-A7A1-2F28A9EFE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e00514-dc0c-452b-8b17-bc72170c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BC66E-9011-4AC5-A45D-BA06FBD902F5}">
  <ds:schemaRefs>
    <ds:schemaRef ds:uri="http://schemas.microsoft.com/sharepoint/v3/contenttype/forms"/>
  </ds:schemaRefs>
</ds:datastoreItem>
</file>

<file path=customXml/itemProps3.xml><?xml version="1.0" encoding="utf-8"?>
<ds:datastoreItem xmlns:ds="http://schemas.openxmlformats.org/officeDocument/2006/customXml" ds:itemID="{42AAA12D-9BFE-413F-839F-4B1B2536B389}">
  <ds:schemaRefs>
    <ds:schemaRef ds:uri="http://schemas.openxmlformats.org/officeDocument/2006/bibliography"/>
  </ds:schemaRefs>
</ds:datastoreItem>
</file>

<file path=customXml/itemProps4.xml><?xml version="1.0" encoding="utf-8"?>
<ds:datastoreItem xmlns:ds="http://schemas.openxmlformats.org/officeDocument/2006/customXml" ds:itemID="{56E131DB-E83A-45D1-A1A2-162750FF3B1C}">
  <ds:schemaRefs>
    <ds:schemaRef ds:uri="http://schemas.microsoft.com/office/2006/metadata/properties"/>
    <ds:schemaRef ds:uri="http://schemas.microsoft.com/office/infopath/2007/PartnerControls"/>
    <ds:schemaRef ds:uri="http://schemas.microsoft.com/sharepoint/v3"/>
    <ds:schemaRef ds:uri="77e00514-dc0c-452b-8b17-bc72170c7812"/>
  </ds:schemaRefs>
</ds:datastoreItem>
</file>

<file path=docMetadata/LabelInfo.xml><?xml version="1.0" encoding="utf-8"?>
<clbl:labelList xmlns:clbl="http://schemas.microsoft.com/office/2020/mipLabelMetadata">
  <clbl:label id="{fd50a0e4-c289-4266-b7ff-7d9cf5066e91}" enabled="0" method="" siteId="{fd50a0e4-c289-4266-b7ff-7d9cf5066e91}"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Laura Muižniece</cp:lastModifiedBy>
  <cp:revision>3</cp:revision>
  <dcterms:created xsi:type="dcterms:W3CDTF">2024-06-11T09:24:00Z</dcterms:created>
  <dcterms:modified xsi:type="dcterms:W3CDTF">2024-06-11T09:24:00Z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0x010100ADF8C251AF34A447BFD2F3BD3F26FC12</vt:lpwstr>
  </property>
</Properties>
</file>