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215E" w14:textId="77777777" w:rsidR="00F533DA" w:rsidRPr="005B6152" w:rsidRDefault="00F533DA" w:rsidP="00F533DA">
      <w:pPr>
        <w:jc w:val="center"/>
        <w:rPr>
          <w:b/>
          <w:color w:val="000000"/>
        </w:rPr>
      </w:pPr>
      <w:r w:rsidRPr="005B6152">
        <w:rPr>
          <w:b/>
          <w:color w:val="000000"/>
        </w:rPr>
        <w:t xml:space="preserve">Eiropas Savienības </w:t>
      </w:r>
      <w:r w:rsidRPr="005B6152">
        <w:rPr>
          <w:b/>
        </w:rPr>
        <w:t>fondu</w:t>
      </w:r>
    </w:p>
    <w:p w14:paraId="1AF5EB57" w14:textId="77777777" w:rsidR="00F533DA" w:rsidRPr="005B6152" w:rsidRDefault="00F533DA" w:rsidP="00F533DA">
      <w:pPr>
        <w:jc w:val="center"/>
        <w:rPr>
          <w:b/>
          <w:color w:val="000000"/>
        </w:rPr>
      </w:pPr>
      <w:r w:rsidRPr="005B6152">
        <w:rPr>
          <w:b/>
          <w:color w:val="000000"/>
        </w:rPr>
        <w:t>2021.-2027.gada plānošanas perioda</w:t>
      </w:r>
    </w:p>
    <w:p w14:paraId="04AA0FEA" w14:textId="2C307D62" w:rsidR="00B82C7C" w:rsidRDefault="00B82C7C" w:rsidP="00F533DA">
      <w:pPr>
        <w:pStyle w:val="BodyText"/>
        <w:rPr>
          <w:sz w:val="24"/>
          <w:szCs w:val="24"/>
        </w:rPr>
      </w:pPr>
      <w:r w:rsidRPr="00B82C7C">
        <w:rPr>
          <w:sz w:val="24"/>
          <w:szCs w:val="24"/>
        </w:rPr>
        <w:t>Apvienotā 2.politikas mērķa “Zaļāka Eiropa” un 3.politikas mērķa “Savienotāka Eiropa” apakškomitejas sēde</w:t>
      </w:r>
    </w:p>
    <w:p w14:paraId="6618A014" w14:textId="214239A4" w:rsidR="00F533DA" w:rsidRPr="005B6152" w:rsidRDefault="00F533DA" w:rsidP="00F533DA">
      <w:pPr>
        <w:pStyle w:val="BodyText"/>
        <w:rPr>
          <w:sz w:val="24"/>
          <w:szCs w:val="24"/>
        </w:rPr>
      </w:pPr>
      <w:r w:rsidRPr="005B6152">
        <w:rPr>
          <w:spacing w:val="100"/>
          <w:sz w:val="24"/>
          <w:szCs w:val="24"/>
        </w:rPr>
        <w:t>PROTOKOLS</w:t>
      </w:r>
    </w:p>
    <w:p w14:paraId="56CDA051" w14:textId="08C3A8FD" w:rsidR="001C2B7F" w:rsidRDefault="00F533DA" w:rsidP="00F533DA">
      <w:pPr>
        <w:spacing w:after="240"/>
        <w:jc w:val="center"/>
        <w:rPr>
          <w:b/>
          <w:lang w:eastAsia="lv-LV"/>
        </w:rPr>
      </w:pPr>
      <w:r w:rsidRPr="005B6152">
        <w:rPr>
          <w:b/>
        </w:rPr>
        <w:t xml:space="preserve">Nr. </w:t>
      </w:r>
      <w:r w:rsidR="003D20A4">
        <w:rPr>
          <w:b/>
          <w:lang w:eastAsia="lv-LV"/>
        </w:rPr>
        <w:t>2024-5.2-3/16/__</w:t>
      </w:r>
    </w:p>
    <w:p w14:paraId="2F3F5870" w14:textId="77777777" w:rsidR="00B82C7C" w:rsidRPr="005B6152" w:rsidRDefault="00B82C7C" w:rsidP="00F533DA">
      <w:pPr>
        <w:spacing w:after="240"/>
        <w:jc w:val="center"/>
      </w:pPr>
    </w:p>
    <w:p w14:paraId="61AC8DEF" w14:textId="0CF5B2ED" w:rsidR="00F533DA" w:rsidRDefault="002B0169" w:rsidP="005B6152">
      <w:pPr>
        <w:tabs>
          <w:tab w:val="left" w:pos="6521"/>
        </w:tabs>
      </w:pPr>
      <w:sdt>
        <w:sdtPr>
          <w:id w:val="1224881164"/>
          <w:placeholder>
            <w:docPart w:val="DefaultPlaceholder_-1854013437"/>
          </w:placeholder>
          <w:date w:fullDate="2024-03-28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AC129B" w:rsidRPr="00AC129B">
            <w:t>28.03.2024</w:t>
          </w:r>
        </w:sdtContent>
      </w:sdt>
      <w:r w:rsidR="00AC129B" w:rsidRPr="00AC129B">
        <w:t>.</w:t>
      </w:r>
      <w:r w:rsidR="005B6152" w:rsidRPr="00AC129B">
        <w:tab/>
      </w:r>
      <w:r w:rsidR="005B6152" w:rsidRPr="00AC129B">
        <w:tab/>
        <w:t xml:space="preserve">MS </w:t>
      </w:r>
      <w:proofErr w:type="spellStart"/>
      <w:r w:rsidR="005B6152" w:rsidRPr="00AC129B">
        <w:t>Teams</w:t>
      </w:r>
      <w:proofErr w:type="spellEnd"/>
      <w:r w:rsidR="005B6152" w:rsidRPr="00AC129B">
        <w:t xml:space="preserve"> platformā</w:t>
      </w:r>
    </w:p>
    <w:p w14:paraId="6CDA6F8D" w14:textId="77777777" w:rsidR="005B6152" w:rsidRDefault="005B6152" w:rsidP="00F533DA"/>
    <w:p w14:paraId="12F475E6" w14:textId="4FBAD36B" w:rsidR="005B6152" w:rsidRDefault="005B6152" w:rsidP="00F533DA">
      <w:r w:rsidRPr="005B6152">
        <w:t xml:space="preserve">Sēdes </w:t>
      </w:r>
      <w:r w:rsidRPr="00B82C7C">
        <w:t>sākums plkst.:</w:t>
      </w:r>
      <w:r w:rsidR="00B82C7C" w:rsidRPr="00B82C7C">
        <w:t xml:space="preserve"> 10.00</w:t>
      </w:r>
    </w:p>
    <w:p w14:paraId="23311D17" w14:textId="77777777" w:rsidR="005B6152" w:rsidRDefault="005B6152" w:rsidP="00F533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F533DA" w:rsidRPr="0055778D" w14:paraId="01EAC5A7" w14:textId="77777777" w:rsidTr="006C49E5">
        <w:tc>
          <w:tcPr>
            <w:tcW w:w="96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3CE06E1" w14:textId="77777777" w:rsidR="00F533DA" w:rsidRPr="0055778D" w:rsidRDefault="00F533DA" w:rsidP="006C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sz w:val="24"/>
                <w:szCs w:val="24"/>
              </w:rPr>
              <w:t>Sēdes vadītājs:</w:t>
            </w:r>
          </w:p>
        </w:tc>
      </w:tr>
      <w:tr w:rsidR="004906FE" w:rsidRPr="0055778D" w14:paraId="6C323E1B" w14:textId="77777777" w:rsidTr="006C49E5">
        <w:tc>
          <w:tcPr>
            <w:tcW w:w="268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2719F4" w14:textId="14D5DADC" w:rsidR="004906FE" w:rsidRPr="0055778D" w:rsidRDefault="004906FE" w:rsidP="006C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5778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Ieva Valtmane</w:t>
            </w: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1B950E" w14:textId="095514F0" w:rsidR="004906FE" w:rsidRPr="0055778D" w:rsidRDefault="004906FE" w:rsidP="006C49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5778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Finanšu ministrijas Eiropas Savienības fondu stratēģijas departamenta </w:t>
            </w:r>
            <w:r w:rsidRPr="005577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direktora vietniece</w:t>
            </w:r>
          </w:p>
        </w:tc>
      </w:tr>
      <w:tr w:rsidR="00F533DA" w:rsidRPr="0055778D" w14:paraId="79C428DF" w14:textId="77777777" w:rsidTr="006C49E5">
        <w:tc>
          <w:tcPr>
            <w:tcW w:w="96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E5DFB6" w14:textId="77777777" w:rsidR="00F533DA" w:rsidRPr="0055778D" w:rsidRDefault="00F533DA" w:rsidP="006C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sz w:val="24"/>
                <w:szCs w:val="24"/>
              </w:rPr>
              <w:t>Sēdes dalībnieki:</w:t>
            </w:r>
          </w:p>
        </w:tc>
      </w:tr>
      <w:tr w:rsidR="00F533DA" w:rsidRPr="0055778D" w14:paraId="42CFF259" w14:textId="77777777" w:rsidTr="006C49E5">
        <w:tc>
          <w:tcPr>
            <w:tcW w:w="268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60F875" w14:textId="311D6AB3" w:rsidR="00F533DA" w:rsidRPr="0055778D" w:rsidRDefault="00F533DA" w:rsidP="006C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288DAD" w14:textId="2B0670AD" w:rsidR="00F533DA" w:rsidRPr="0055778D" w:rsidRDefault="00F533DA" w:rsidP="006C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8D" w:rsidRPr="0055778D" w14:paraId="56FEF5F2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2BA1" w14:textId="1112E43B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Agnese Gūtmane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39D86" w14:textId="1CCA6C40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"Rīgas un Pierīgas pašvaldību apvienība "Rīgas metropole""</w:t>
            </w:r>
          </w:p>
        </w:tc>
      </w:tr>
      <w:tr w:rsidR="0055778D" w:rsidRPr="0055778D" w14:paraId="33E464F1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E1DB5" w14:textId="1CA78B4D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Agnese Marnauza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66599" w14:textId="6297B75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Vides aizsardzības un reģionālās attīstības ministrija</w:t>
            </w:r>
          </w:p>
        </w:tc>
      </w:tr>
      <w:tr w:rsidR="0055778D" w:rsidRPr="0055778D" w14:paraId="4F3A80FD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13A88" w14:textId="7161E23E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Alda </w:t>
            </w:r>
            <w:proofErr w:type="spellStart"/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Ērmane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F4A19" w14:textId="5331499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Zemgales plānošanas reģions</w:t>
            </w:r>
          </w:p>
        </w:tc>
      </w:tr>
      <w:tr w:rsidR="0055778D" w:rsidRPr="0055778D" w14:paraId="7E0362A1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356EF" w14:textId="24E17423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Alla Kudiņa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ACD50" w14:textId="7831185C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Zaļāka Eiropa</w:t>
            </w:r>
          </w:p>
        </w:tc>
      </w:tr>
      <w:tr w:rsidR="0055778D" w:rsidRPr="0055778D" w14:paraId="38DEDF91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BC255" w14:textId="0E8083B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Andžela Korotkoručko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B1CDC" w14:textId="734A253F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Satiksmes ministrija</w:t>
            </w:r>
          </w:p>
        </w:tc>
      </w:tr>
      <w:tr w:rsidR="0055778D" w:rsidRPr="0055778D" w14:paraId="435F46B2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387A1" w14:textId="7E83E84E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Anita Kalniņa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7100B" w14:textId="2573F372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Finanšu ministrija</w:t>
            </w:r>
          </w:p>
        </w:tc>
      </w:tr>
      <w:tr w:rsidR="0055778D" w:rsidRPr="0055778D" w14:paraId="606CC20A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7E631" w14:textId="6C4F20AC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Anna Pukse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6C33C" w14:textId="32A55288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Finanšu ministrija</w:t>
            </w:r>
          </w:p>
        </w:tc>
      </w:tr>
      <w:tr w:rsidR="0055778D" w:rsidRPr="0055778D" w14:paraId="0B4A214E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CF364" w14:textId="0B5C028D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Anželika Mūrniece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22389" w14:textId="63DA9836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Latvijas Republikas Finanšu ministrija </w:t>
            </w:r>
          </w:p>
        </w:tc>
      </w:tr>
      <w:tr w:rsidR="0055778D" w:rsidRPr="0055778D" w14:paraId="0901EE2C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C5B58" w14:textId="540E4A46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Artūrs </w:t>
            </w:r>
            <w:proofErr w:type="spellStart"/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Kairovs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906AD" w14:textId="43444688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Vides aizsardzības un reģionālās attīstības ministrija</w:t>
            </w:r>
          </w:p>
        </w:tc>
      </w:tr>
      <w:tr w:rsidR="0055778D" w:rsidRPr="0055778D" w14:paraId="58814165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AC0DD" w14:textId="2D52A6D9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Austra Auziņa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59E92" w14:textId="56D7ABB2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Vides aizsardzības un reģionālās attīstības ministrija</w:t>
            </w:r>
          </w:p>
        </w:tc>
      </w:tr>
      <w:tr w:rsidR="0055778D" w:rsidRPr="0055778D" w14:paraId="2F35A012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6B148" w14:textId="2AE2B5D7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Baiba Rivža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BFF16" w14:textId="5666BB57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Zinātņu akadēmija</w:t>
            </w:r>
          </w:p>
        </w:tc>
      </w:tr>
      <w:tr w:rsidR="0055778D" w:rsidRPr="0055778D" w14:paraId="48852175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AAB68" w14:textId="3E2DE853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Daina Alužāne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E7897" w14:textId="02368B54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"Alianse </w:t>
            </w:r>
            <w:proofErr w:type="spellStart"/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pārnozariskai</w:t>
            </w:r>
            <w:proofErr w:type="spellEnd"/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ilgtspējīgai attīstībai"</w:t>
            </w:r>
          </w:p>
        </w:tc>
      </w:tr>
      <w:tr w:rsidR="0055778D" w:rsidRPr="0055778D" w14:paraId="01D16107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14EDC" w14:textId="018BBA76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Dana Prižavoite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B2117" w14:textId="687CE309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Vides aizsardzības un reģionālās attīstības ministrija</w:t>
            </w:r>
          </w:p>
        </w:tc>
      </w:tr>
      <w:tr w:rsidR="0055778D" w:rsidRPr="0055778D" w14:paraId="25747110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3EBB6" w14:textId="1A1EBA84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Edgars Bertrams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6785D" w14:textId="27E6100E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1C00AD93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22E27" w14:textId="4002A21B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Edīte Bērziņa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188F9" w14:textId="4011C86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Finanšu ministrija</w:t>
            </w:r>
          </w:p>
        </w:tc>
      </w:tr>
      <w:tr w:rsidR="0055778D" w:rsidRPr="0055778D" w14:paraId="29A180E5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F9034" w14:textId="054265D9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Elīna Puriņa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C16C0" w14:textId="5F49F96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Finanšu ministrija</w:t>
            </w:r>
          </w:p>
        </w:tc>
      </w:tr>
      <w:tr w:rsidR="0055778D" w:rsidRPr="0055778D" w14:paraId="71BC49E3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A8D0F" w14:textId="33F25191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 Rikmane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574F" w14:textId="722FFD64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"Rīgas un Pierīgas pašvaldību apvienība "Rīgas metropole""</w:t>
            </w:r>
          </w:p>
        </w:tc>
      </w:tr>
      <w:tr w:rsidR="0055778D" w:rsidRPr="0055778D" w14:paraId="1C0DA0D6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B81A6" w14:textId="3618DDBD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Evija </w:t>
            </w:r>
            <w:proofErr w:type="spellStart"/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Ērkšķe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A4A2" w14:textId="72FF719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Zemgales plānošanas reģions</w:t>
            </w:r>
          </w:p>
        </w:tc>
      </w:tr>
      <w:tr w:rsidR="0055778D" w:rsidRPr="0055778D" w14:paraId="67800552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FFE3E" w14:textId="4CB607E5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Evita Bāliņa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97BD3" w14:textId="7E59CC35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Finanšu ministrija</w:t>
            </w:r>
          </w:p>
        </w:tc>
      </w:tr>
      <w:tr w:rsidR="0055778D" w:rsidRPr="0055778D" w14:paraId="0F73949A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9196B" w14:textId="55FBFC4C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Gunita Osīte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0F6A9" w14:textId="3F0AD0F1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Lielo pilsētu asociācija"</w:t>
            </w:r>
          </w:p>
        </w:tc>
      </w:tr>
      <w:tr w:rsidR="0055778D" w:rsidRPr="0055778D" w14:paraId="16ECFD1F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89E4D" w14:textId="1CFE8585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Ilze Baltābola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DDF51" w14:textId="6B54FC3B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Ekonomikas ministrija</w:t>
            </w:r>
          </w:p>
        </w:tc>
      </w:tr>
      <w:tr w:rsidR="0055778D" w:rsidRPr="0055778D" w14:paraId="4E8A3469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747CF" w14:textId="365D5720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Ilze Jureviča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A96DB" w14:textId="35E42B7C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Vides aizsardzības un reģionālās attīstības ministrija</w:t>
            </w:r>
          </w:p>
        </w:tc>
      </w:tr>
      <w:tr w:rsidR="0055778D" w:rsidRPr="0055778D" w14:paraId="1B1BC867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98CB8" w14:textId="0D650B1E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Ilze Lodziņa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829E3" w14:textId="786833EB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0FDC49EA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3D037" w14:textId="509CBD26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Inese Jēgere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79BAF" w14:textId="28114188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"Rīgas un Pierīgas pašvaldību apvienība "Rīgas metropole""</w:t>
            </w:r>
          </w:p>
        </w:tc>
      </w:tr>
      <w:tr w:rsidR="0055778D" w:rsidRPr="0055778D" w14:paraId="3141855E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C5879" w14:textId="390BD95F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Inese Vilcāne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AD1DB" w14:textId="169ED89F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Labklājības ministrija</w:t>
            </w:r>
          </w:p>
        </w:tc>
      </w:tr>
      <w:tr w:rsidR="0055778D" w:rsidRPr="0055778D" w14:paraId="29DF5217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63393" w14:textId="66E90DB2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Inga Bāliņa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572BB" w14:textId="15BF5FE0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Klimata un enerģētikas ministrija</w:t>
            </w:r>
          </w:p>
        </w:tc>
      </w:tr>
      <w:tr w:rsidR="0055778D" w:rsidRPr="0055778D" w14:paraId="1D7522FA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D143E" w14:textId="69CDD1A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Ingeborga Linde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E9133" w14:textId="17F156EE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Klimata un enerģētikas ministrija</w:t>
            </w:r>
          </w:p>
        </w:tc>
      </w:tr>
      <w:tr w:rsidR="0055778D" w:rsidRPr="0055778D" w14:paraId="286F6DBA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B954E" w14:textId="20A098B8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Jānis Pērkons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BABEC" w14:textId="4C0F7D6C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56429320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4F1D" w14:textId="094B6304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Karīna Virse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4DD81" w14:textId="2C224E92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Finanšu ministrija</w:t>
            </w:r>
          </w:p>
        </w:tc>
      </w:tr>
      <w:tr w:rsidR="0055778D" w:rsidRPr="0055778D" w14:paraId="4374DC54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316BA" w14:textId="3B2D00C5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Kaspars Šlihta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BD130" w14:textId="48835537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Satiksmes ministrija</w:t>
            </w:r>
          </w:p>
        </w:tc>
      </w:tr>
      <w:tr w:rsidR="0055778D" w:rsidRPr="0055778D" w14:paraId="31C1B15B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55DB3" w14:textId="7168FC0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Kristīne Smagare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89E68" w14:textId="6399FC66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Latgales plānošanas reģions</w:t>
            </w:r>
          </w:p>
        </w:tc>
      </w:tr>
      <w:tr w:rsidR="0055778D" w:rsidRPr="0055778D" w14:paraId="079FFDA5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DC506" w14:textId="2574BD22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Kristīne Šmite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C76A3" w14:textId="0A88804B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06B7565F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25FC9" w14:textId="31AE86E7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Laura </w:t>
            </w:r>
            <w:proofErr w:type="spellStart"/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Ausmane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173E0" w14:textId="0F7A149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4E832390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92B37" w14:textId="597512C3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Liene Dzelzkalēja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BB95E" w14:textId="7B5DB33B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Finanšu ministrija</w:t>
            </w:r>
          </w:p>
        </w:tc>
      </w:tr>
      <w:tr w:rsidR="0055778D" w:rsidRPr="0055778D" w14:paraId="6D7FA8B0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8320B" w14:textId="54B1C9F4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Līga Grantiņa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48499" w14:textId="439D88A8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1595F205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7503D" w14:textId="0D9067E8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Ligita Jakušenoka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E0801" w14:textId="77EEDEB5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626C6F2D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2739F" w14:textId="21E2C522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Linda Bernāne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A7161" w14:textId="13B17B1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Tieslietu ministrija</w:t>
            </w:r>
          </w:p>
        </w:tc>
      </w:tr>
      <w:tr w:rsidR="0055778D" w:rsidRPr="0055778D" w14:paraId="22C349A2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027D" w14:textId="1ACC4E71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Linda Spārniņa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659E5" w14:textId="2AEA0F28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Satiksmes ministrija</w:t>
            </w:r>
          </w:p>
        </w:tc>
      </w:tr>
      <w:tr w:rsidR="0055778D" w:rsidRPr="0055778D" w14:paraId="4C31888C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CA278" w14:textId="70543DA8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Madara Austriņa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1AE88" w14:textId="6ACE44D9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404018E4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04757" w14:textId="06342B8D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Magda Kariņa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D9E55" w14:textId="1A77774C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589AB782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7BFE3" w14:textId="7428657D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Maksis Apinis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9583C" w14:textId="4CCA662B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Vides konsultatīvā padome</w:t>
            </w:r>
          </w:p>
        </w:tc>
      </w:tr>
      <w:tr w:rsidR="0055778D" w:rsidRPr="0055778D" w14:paraId="0718BA83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24049" w14:textId="78AB3240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Raitis </w:t>
            </w:r>
            <w:proofErr w:type="spellStart"/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Madžulis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90BDB" w14:textId="5AB3BD8E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Zemgales plānošanas reģions</w:t>
            </w:r>
          </w:p>
        </w:tc>
      </w:tr>
      <w:tr w:rsidR="0055778D" w:rsidRPr="0055778D" w14:paraId="22D83252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4B946" w14:textId="3C7BD79D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Regīna Vigula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48467" w14:textId="760B7281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62E7FC23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C097A" w14:textId="3034C237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Santa Lakševica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47CE3" w14:textId="730B7B7D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Valsts kase</w:t>
            </w:r>
          </w:p>
        </w:tc>
      </w:tr>
      <w:tr w:rsidR="0055778D" w:rsidRPr="0055778D" w14:paraId="6A2BC31B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DE9A5" w14:textId="1A8D5D81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Signe Zakka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94AEA" w14:textId="3C48D157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Vides aizsardzības un reģionālās attīstības ministrija </w:t>
            </w:r>
          </w:p>
        </w:tc>
      </w:tr>
      <w:tr w:rsidR="0055778D" w:rsidRPr="0055778D" w14:paraId="05520718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468F6" w14:textId="5093C847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Sintija Zīverte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B7E88" w14:textId="5077252F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01E41C30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416D" w14:textId="05DA4A4E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Sniedze Sproģe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4EE3A" w14:textId="226137B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Pašvaldību savienība</w:t>
            </w:r>
          </w:p>
        </w:tc>
      </w:tr>
      <w:tr w:rsidR="0055778D" w:rsidRPr="0055778D" w14:paraId="091B3029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A9E6B" w14:textId="06A3A68D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Svetlana Sergejeva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C2CB0" w14:textId="4F3929BE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Vides aizsardzības un reģionālās attīstības ministrija </w:t>
            </w:r>
          </w:p>
        </w:tc>
      </w:tr>
      <w:tr w:rsidR="0055778D" w:rsidRPr="0055778D" w14:paraId="5C9D40DE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9D901" w14:textId="5F03328A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Tatjana </w:t>
            </w:r>
            <w:proofErr w:type="spellStart"/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Ornicāne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6C0BF" w14:textId="18B6D424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35F2FC4F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3D39C" w14:textId="38F53428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Tatjana Timermane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9B573" w14:textId="31DEBC85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  <w:tr w:rsidR="0055778D" w:rsidRPr="0055778D" w14:paraId="2919BEF8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1BBF6" w14:textId="48F319ED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Uldis Vītoliņš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48B89" w14:textId="31366A3F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Reģionālo attīstības centru un novadu apvienība</w:t>
            </w:r>
          </w:p>
        </w:tc>
      </w:tr>
      <w:tr w:rsidR="0055778D" w:rsidRPr="0055778D" w14:paraId="5467A518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54360" w14:textId="0F96C1DD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Vilnis Preimanis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68135" w14:textId="2597FFFF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Satiksmes ministrija</w:t>
            </w:r>
          </w:p>
        </w:tc>
      </w:tr>
      <w:tr w:rsidR="0055778D" w:rsidRPr="0055778D" w14:paraId="12C6C154" w14:textId="77777777" w:rsidTr="00A150C6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18CB9" w14:textId="5344A2C4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Zane Egle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0659C" w14:textId="0B251DD6" w:rsidR="0055778D" w:rsidRPr="0055778D" w:rsidRDefault="0055778D" w:rsidP="00557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Centrālā finanšu un līgumu aģentūra</w:t>
            </w:r>
          </w:p>
        </w:tc>
      </w:tr>
    </w:tbl>
    <w:p w14:paraId="427EDB88" w14:textId="77777777" w:rsidR="00F533DA" w:rsidRDefault="00F533DA" w:rsidP="00F533DA"/>
    <w:p w14:paraId="17B8BA10" w14:textId="77777777" w:rsidR="00F533DA" w:rsidRDefault="00F533DA" w:rsidP="00F533DA"/>
    <w:p w14:paraId="5AC13F83" w14:textId="39CD8C94" w:rsidR="00B82C7C" w:rsidRPr="00B82C7C" w:rsidRDefault="00F533DA" w:rsidP="00B82C7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1.</w:t>
      </w:r>
      <w:r w:rsidR="00B82C7C" w:rsidRPr="00B82C7C">
        <w:t xml:space="preserve"> </w:t>
      </w:r>
      <w:r w:rsidR="00B82C7C" w:rsidRPr="00B82C7C">
        <w:rPr>
          <w:b/>
          <w:bCs/>
        </w:rPr>
        <w:t xml:space="preserve">Eiropas Savienības kohēzijas politikas programmas  2021. - 2027. gadam </w:t>
      </w:r>
    </w:p>
    <w:p w14:paraId="24C6C07F" w14:textId="42AE750F" w:rsidR="00F533DA" w:rsidRPr="00695942" w:rsidRDefault="00B82C7C" w:rsidP="00B82C7C">
      <w:pPr>
        <w:pBdr>
          <w:bottom w:val="single" w:sz="4" w:space="1" w:color="auto"/>
        </w:pBdr>
        <w:jc w:val="center"/>
        <w:rPr>
          <w:b/>
          <w:bCs/>
        </w:rPr>
      </w:pPr>
      <w:r w:rsidRPr="00B82C7C">
        <w:rPr>
          <w:b/>
          <w:bCs/>
        </w:rPr>
        <w:t>2.2.2.specifiskā atbalsta mērķa “Pārejas uz aprites ekonomiku veicināšana” 2.2.2.2.pasākuma “Atkritumu dalītā vākšana” otrās kārtas materiāli</w:t>
      </w:r>
    </w:p>
    <w:p w14:paraId="77D382F4" w14:textId="77777777" w:rsidR="00F533DA" w:rsidRDefault="00F533DA" w:rsidP="00F533DA"/>
    <w:p w14:paraId="0853BB09" w14:textId="77777777" w:rsidR="00F533DA" w:rsidRDefault="00F533DA" w:rsidP="00F533DA">
      <w:r w:rsidRPr="005C423B">
        <w:t>Vienojās:</w:t>
      </w:r>
    </w:p>
    <w:p w14:paraId="33D9006A" w14:textId="1F304D3F" w:rsidR="00FF3021" w:rsidRDefault="0055275F" w:rsidP="002B0169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55275F">
        <w:rPr>
          <w:sz w:val="24"/>
          <w:szCs w:val="24"/>
        </w:rPr>
        <w:t xml:space="preserve">Izskatīt </w:t>
      </w:r>
      <w:r w:rsidR="00B82C7C" w:rsidRPr="00B82C7C">
        <w:rPr>
          <w:sz w:val="24"/>
          <w:szCs w:val="24"/>
        </w:rPr>
        <w:t xml:space="preserve">Vides aizsardzības un reģionālās attīstības </w:t>
      </w:r>
      <w:r w:rsidR="00FF3021" w:rsidRPr="00B82C7C">
        <w:rPr>
          <w:sz w:val="24"/>
          <w:szCs w:val="24"/>
        </w:rPr>
        <w:t>ministrija</w:t>
      </w:r>
      <w:r w:rsidRPr="00B82C7C">
        <w:rPr>
          <w:sz w:val="24"/>
          <w:szCs w:val="24"/>
        </w:rPr>
        <w:t>s</w:t>
      </w:r>
      <w:r w:rsidR="00FF3021">
        <w:rPr>
          <w:sz w:val="24"/>
          <w:szCs w:val="24"/>
        </w:rPr>
        <w:t xml:space="preserve"> </w:t>
      </w:r>
      <w:r w:rsidR="00B82C7C">
        <w:rPr>
          <w:sz w:val="24"/>
          <w:szCs w:val="24"/>
        </w:rPr>
        <w:t xml:space="preserve">(turpmāk – VARAM) </w:t>
      </w:r>
      <w:r w:rsidR="00B82C7C" w:rsidRPr="00B82C7C">
        <w:rPr>
          <w:sz w:val="24"/>
          <w:szCs w:val="24"/>
        </w:rPr>
        <w:t xml:space="preserve">2.2.2.specifiskā atbalsta mērķa “Pārejas uz aprites ekonomiku veicināšana” 2.2.2.2.pasākuma “Atkritumu dalītā vākšana” </w:t>
      </w:r>
      <w:r w:rsidR="00FF3021" w:rsidRPr="00695942">
        <w:rPr>
          <w:sz w:val="24"/>
          <w:szCs w:val="24"/>
        </w:rPr>
        <w:t xml:space="preserve">(turpmāk – </w:t>
      </w:r>
      <w:r w:rsidR="00B82C7C">
        <w:rPr>
          <w:sz w:val="24"/>
          <w:szCs w:val="24"/>
        </w:rPr>
        <w:t>2.2.2.2</w:t>
      </w:r>
      <w:r w:rsidR="00FF3021">
        <w:rPr>
          <w:sz w:val="24"/>
          <w:szCs w:val="24"/>
        </w:rPr>
        <w:t>.</w:t>
      </w:r>
      <w:r w:rsidR="00FF3021" w:rsidRPr="00695942">
        <w:rPr>
          <w:sz w:val="24"/>
          <w:szCs w:val="24"/>
        </w:rPr>
        <w:t xml:space="preserve">pasākums) </w:t>
      </w:r>
      <w:r w:rsidR="00B82C7C" w:rsidRPr="00B82C7C">
        <w:rPr>
          <w:sz w:val="24"/>
          <w:szCs w:val="24"/>
        </w:rPr>
        <w:t xml:space="preserve">otrās kārtas </w:t>
      </w:r>
      <w:r w:rsidR="00FF3021" w:rsidRPr="003E5687">
        <w:rPr>
          <w:sz w:val="24"/>
          <w:szCs w:val="24"/>
        </w:rPr>
        <w:t>materiālus</w:t>
      </w:r>
      <w:r>
        <w:rPr>
          <w:sz w:val="24"/>
          <w:szCs w:val="24"/>
        </w:rPr>
        <w:t>.</w:t>
      </w:r>
    </w:p>
    <w:p w14:paraId="70CB3D15" w14:textId="346870AA" w:rsidR="00AF1369" w:rsidRDefault="00AF1369" w:rsidP="002B0169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VARAM iesūtīt precizētos 2.2.2.2.pasākuma otrās kārtas</w:t>
      </w:r>
      <w:r w:rsidRPr="00AF1369">
        <w:rPr>
          <w:sz w:val="24"/>
          <w:szCs w:val="24"/>
        </w:rPr>
        <w:t xml:space="preserve"> </w:t>
      </w:r>
      <w:r w:rsidR="00B82826">
        <w:rPr>
          <w:sz w:val="24"/>
          <w:szCs w:val="24"/>
        </w:rPr>
        <w:t>materiālus</w:t>
      </w:r>
      <w:r w:rsidRPr="00AF1369">
        <w:rPr>
          <w:sz w:val="24"/>
          <w:szCs w:val="24"/>
        </w:rPr>
        <w:t xml:space="preserve">, </w:t>
      </w:r>
      <w:r w:rsidR="00B82826">
        <w:rPr>
          <w:sz w:val="24"/>
          <w:szCs w:val="24"/>
        </w:rPr>
        <w:t xml:space="preserve">ņemot vērā veiktos </w:t>
      </w:r>
      <w:r w:rsidRPr="00AF1369">
        <w:rPr>
          <w:sz w:val="24"/>
          <w:szCs w:val="24"/>
        </w:rPr>
        <w:t>precizējum</w:t>
      </w:r>
      <w:r w:rsidR="00B82826">
        <w:rPr>
          <w:sz w:val="24"/>
          <w:szCs w:val="24"/>
        </w:rPr>
        <w:t>us</w:t>
      </w:r>
      <w:r w:rsidRPr="00AF1369">
        <w:rPr>
          <w:sz w:val="24"/>
          <w:szCs w:val="24"/>
        </w:rPr>
        <w:t xml:space="preserve"> </w:t>
      </w:r>
      <w:r w:rsidR="00B82826">
        <w:rPr>
          <w:sz w:val="24"/>
          <w:szCs w:val="24"/>
        </w:rPr>
        <w:t>pēc</w:t>
      </w:r>
      <w:r w:rsidRPr="00AF1369">
        <w:rPr>
          <w:sz w:val="24"/>
          <w:szCs w:val="24"/>
        </w:rPr>
        <w:t xml:space="preserve"> konsultācijām ar atkritumu apsaimniekošanas nozares organizācijām, kā arī salāgojot </w:t>
      </w:r>
      <w:r>
        <w:rPr>
          <w:sz w:val="24"/>
          <w:szCs w:val="24"/>
        </w:rPr>
        <w:t xml:space="preserve">tos </w:t>
      </w:r>
      <w:r w:rsidRPr="00AF1369">
        <w:rPr>
          <w:sz w:val="24"/>
          <w:szCs w:val="24"/>
        </w:rPr>
        <w:t>ar</w:t>
      </w:r>
      <w:r w:rsidR="00373BAE">
        <w:rPr>
          <w:sz w:val="24"/>
          <w:szCs w:val="24"/>
        </w:rPr>
        <w:t xml:space="preserve"> saskaņošanai</w:t>
      </w:r>
      <w:r w:rsidRPr="00AF1369">
        <w:rPr>
          <w:sz w:val="24"/>
          <w:szCs w:val="24"/>
        </w:rPr>
        <w:t xml:space="preserve"> T</w:t>
      </w:r>
      <w:r w:rsidR="00373BAE">
        <w:rPr>
          <w:sz w:val="24"/>
          <w:szCs w:val="24"/>
        </w:rPr>
        <w:t>iesību aktu portālā</w:t>
      </w:r>
      <w:r w:rsidRPr="00AF1369">
        <w:rPr>
          <w:sz w:val="24"/>
          <w:szCs w:val="24"/>
        </w:rPr>
        <w:t xml:space="preserve"> virzāmo Ministru kabineta noteikumu projektu</w:t>
      </w:r>
      <w:r w:rsidR="00373BAE">
        <w:rPr>
          <w:sz w:val="24"/>
          <w:szCs w:val="24"/>
        </w:rPr>
        <w:t xml:space="preserve"> par 2.2.2.2.pasākuma otrās kārtas īstenošanu</w:t>
      </w:r>
      <w:r w:rsidRPr="00AF1369">
        <w:rPr>
          <w:sz w:val="24"/>
          <w:szCs w:val="24"/>
        </w:rPr>
        <w:t>.</w:t>
      </w:r>
    </w:p>
    <w:p w14:paraId="017E8430" w14:textId="77E6E3B3" w:rsidR="00FF3021" w:rsidRPr="00695942" w:rsidRDefault="00B82C7C" w:rsidP="002B0169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B82C7C">
        <w:rPr>
          <w:sz w:val="24"/>
          <w:szCs w:val="24"/>
        </w:rPr>
        <w:t xml:space="preserve">VARAM </w:t>
      </w:r>
      <w:r w:rsidR="007C27EC">
        <w:rPr>
          <w:sz w:val="24"/>
          <w:szCs w:val="24"/>
        </w:rPr>
        <w:t xml:space="preserve">precizētos </w:t>
      </w:r>
      <w:r w:rsidRPr="00B82C7C">
        <w:rPr>
          <w:sz w:val="24"/>
          <w:szCs w:val="24"/>
        </w:rPr>
        <w:t xml:space="preserve">2.2.2.2.pasākuma otrās kārtas </w:t>
      </w:r>
      <w:r w:rsidR="00FF3021">
        <w:rPr>
          <w:sz w:val="24"/>
          <w:szCs w:val="24"/>
        </w:rPr>
        <w:t xml:space="preserve">projekta iesnieguma vērtēšanas </w:t>
      </w:r>
      <w:r w:rsidR="00FF3021" w:rsidRPr="00695942">
        <w:rPr>
          <w:sz w:val="24"/>
          <w:szCs w:val="24"/>
        </w:rPr>
        <w:t>kritēriju</w:t>
      </w:r>
      <w:r w:rsidR="00FF3021">
        <w:rPr>
          <w:sz w:val="24"/>
          <w:szCs w:val="24"/>
        </w:rPr>
        <w:t xml:space="preserve">s </w:t>
      </w:r>
      <w:r w:rsidR="00FF3021" w:rsidRPr="00695942">
        <w:rPr>
          <w:sz w:val="24"/>
          <w:szCs w:val="24"/>
        </w:rPr>
        <w:t xml:space="preserve">virzīt apstiprināšanai </w:t>
      </w:r>
      <w:r w:rsidR="00FF3021">
        <w:rPr>
          <w:sz w:val="24"/>
          <w:szCs w:val="24"/>
        </w:rPr>
        <w:t>ES</w:t>
      </w:r>
      <w:r w:rsidR="00FF3021" w:rsidRPr="00695942">
        <w:rPr>
          <w:sz w:val="24"/>
          <w:szCs w:val="24"/>
        </w:rPr>
        <w:t xml:space="preserve"> fondu 2021.–2027.gada plānošanas perioda Uzraudzības komitejā</w:t>
      </w:r>
      <w:r w:rsidR="00FF3021">
        <w:rPr>
          <w:sz w:val="24"/>
          <w:szCs w:val="24"/>
        </w:rPr>
        <w:t xml:space="preserve"> (turpmāk – UK)</w:t>
      </w:r>
      <w:r w:rsidR="00FF3021" w:rsidRPr="00695942">
        <w:rPr>
          <w:sz w:val="24"/>
          <w:szCs w:val="24"/>
        </w:rPr>
        <w:t>.</w:t>
      </w:r>
    </w:p>
    <w:p w14:paraId="0E6AD70A" w14:textId="77777777" w:rsidR="00F533DA" w:rsidRDefault="00F533DA" w:rsidP="00F533DA"/>
    <w:p w14:paraId="33C84E2F" w14:textId="77777777" w:rsidR="00F533DA" w:rsidRDefault="00F533DA" w:rsidP="00F533DA"/>
    <w:p w14:paraId="266C39B7" w14:textId="36FFDA2E" w:rsidR="00F533DA" w:rsidRPr="00695942" w:rsidRDefault="00F533DA" w:rsidP="00F533DA">
      <w:pPr>
        <w:pBdr>
          <w:bottom w:val="single" w:sz="4" w:space="1" w:color="auto"/>
        </w:pBdr>
        <w:jc w:val="center"/>
        <w:rPr>
          <w:b/>
          <w:bCs/>
        </w:rPr>
      </w:pPr>
      <w:r w:rsidRPr="00695942">
        <w:rPr>
          <w:b/>
          <w:bCs/>
        </w:rPr>
        <w:t xml:space="preserve">2. </w:t>
      </w:r>
      <w:r w:rsidR="00B82C7C" w:rsidRPr="00B82C7C">
        <w:rPr>
          <w:b/>
          <w:bCs/>
        </w:rPr>
        <w:t xml:space="preserve">Eiropas Savienības kohēzijas politikas programmas  2021. - 2027. gadam 2.4.1.specifiskā atbalsta mērķa “Veicināt ilgtspējīgu multimodālu mobilitāti, attīstot </w:t>
      </w:r>
      <w:proofErr w:type="spellStart"/>
      <w:r w:rsidR="00B82C7C" w:rsidRPr="00B82C7C">
        <w:rPr>
          <w:b/>
          <w:bCs/>
        </w:rPr>
        <w:t>elektrotransportlīdzekļu</w:t>
      </w:r>
      <w:proofErr w:type="spellEnd"/>
      <w:r w:rsidR="00B82C7C" w:rsidRPr="00B82C7C">
        <w:rPr>
          <w:b/>
          <w:bCs/>
        </w:rPr>
        <w:t xml:space="preserve"> uzlādes infrastruktūru” 2.4.1.2. pasākuma “</w:t>
      </w:r>
      <w:proofErr w:type="spellStart"/>
      <w:r w:rsidR="00B82C7C" w:rsidRPr="00B82C7C">
        <w:rPr>
          <w:b/>
          <w:bCs/>
        </w:rPr>
        <w:t>Bezemisiju</w:t>
      </w:r>
      <w:proofErr w:type="spellEnd"/>
      <w:r w:rsidR="00B82C7C" w:rsidRPr="00B82C7C">
        <w:rPr>
          <w:b/>
          <w:bCs/>
        </w:rPr>
        <w:t xml:space="preserve"> vilcienu iegāde” pirmās kārtas materiāli</w:t>
      </w:r>
    </w:p>
    <w:p w14:paraId="20EEF6C0" w14:textId="77777777" w:rsidR="00F533DA" w:rsidRDefault="00F533DA" w:rsidP="00F533DA"/>
    <w:p w14:paraId="0A7CF25A" w14:textId="77777777" w:rsidR="00F533DA" w:rsidRDefault="00F533DA" w:rsidP="00F533DA">
      <w:r w:rsidRPr="005C423B">
        <w:t>Vienojās:</w:t>
      </w:r>
    </w:p>
    <w:p w14:paraId="48230A0E" w14:textId="484C2168" w:rsidR="0055275F" w:rsidRDefault="0055275F" w:rsidP="002B0169">
      <w:pPr>
        <w:pStyle w:val="ListParagraph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B82C7C">
        <w:rPr>
          <w:sz w:val="24"/>
          <w:szCs w:val="24"/>
        </w:rPr>
        <w:t xml:space="preserve">Izskatīt </w:t>
      </w:r>
      <w:r w:rsidR="00B82C7C" w:rsidRPr="00B82C7C">
        <w:rPr>
          <w:sz w:val="24"/>
          <w:szCs w:val="24"/>
        </w:rPr>
        <w:t>Satiksmes</w:t>
      </w:r>
      <w:r w:rsidRPr="00B82C7C">
        <w:rPr>
          <w:sz w:val="24"/>
          <w:szCs w:val="24"/>
        </w:rPr>
        <w:t xml:space="preserve"> ministrijas </w:t>
      </w:r>
      <w:r w:rsidR="00B82C7C" w:rsidRPr="00B82C7C">
        <w:rPr>
          <w:sz w:val="24"/>
          <w:szCs w:val="24"/>
        </w:rPr>
        <w:t>(</w:t>
      </w:r>
      <w:r w:rsidR="00B82C7C">
        <w:rPr>
          <w:sz w:val="24"/>
          <w:szCs w:val="24"/>
        </w:rPr>
        <w:t xml:space="preserve">turpmāk – SM) </w:t>
      </w:r>
      <w:r w:rsidR="00B82C7C" w:rsidRPr="00B82C7C">
        <w:rPr>
          <w:sz w:val="24"/>
          <w:szCs w:val="24"/>
        </w:rPr>
        <w:t xml:space="preserve">2.4.1.specifiskā atbalsta mērķa “Veicināt ilgtspējīgu multimodālu mobilitāti, attīstot </w:t>
      </w:r>
      <w:proofErr w:type="spellStart"/>
      <w:r w:rsidR="00B82C7C" w:rsidRPr="00B82C7C">
        <w:rPr>
          <w:sz w:val="24"/>
          <w:szCs w:val="24"/>
        </w:rPr>
        <w:t>elektrotransportlīdzekļu</w:t>
      </w:r>
      <w:proofErr w:type="spellEnd"/>
      <w:r w:rsidR="00B82C7C" w:rsidRPr="00B82C7C">
        <w:rPr>
          <w:sz w:val="24"/>
          <w:szCs w:val="24"/>
        </w:rPr>
        <w:t xml:space="preserve"> uzlādes infrastruktūru” 2.4.1.2. pasākuma “</w:t>
      </w:r>
      <w:proofErr w:type="spellStart"/>
      <w:r w:rsidR="00B82C7C" w:rsidRPr="00B82C7C">
        <w:rPr>
          <w:sz w:val="24"/>
          <w:szCs w:val="24"/>
        </w:rPr>
        <w:t>Bezemisiju</w:t>
      </w:r>
      <w:proofErr w:type="spellEnd"/>
      <w:r w:rsidR="00B82C7C" w:rsidRPr="00B82C7C">
        <w:rPr>
          <w:sz w:val="24"/>
          <w:szCs w:val="24"/>
        </w:rPr>
        <w:t xml:space="preserve"> vilcienu iegāde” </w:t>
      </w:r>
      <w:r w:rsidRPr="00695942">
        <w:rPr>
          <w:sz w:val="24"/>
          <w:szCs w:val="24"/>
        </w:rPr>
        <w:t xml:space="preserve">(turpmāk – </w:t>
      </w:r>
      <w:r w:rsidR="00B82C7C">
        <w:rPr>
          <w:sz w:val="24"/>
          <w:szCs w:val="24"/>
        </w:rPr>
        <w:t>2.4.1.2</w:t>
      </w:r>
      <w:r>
        <w:rPr>
          <w:sz w:val="24"/>
          <w:szCs w:val="24"/>
        </w:rPr>
        <w:t>.</w:t>
      </w:r>
      <w:r w:rsidRPr="00695942">
        <w:rPr>
          <w:sz w:val="24"/>
          <w:szCs w:val="24"/>
        </w:rPr>
        <w:t xml:space="preserve">pasākums) </w:t>
      </w:r>
      <w:r w:rsidR="00B82C7C" w:rsidRPr="00B82C7C">
        <w:rPr>
          <w:sz w:val="24"/>
          <w:szCs w:val="24"/>
        </w:rPr>
        <w:t xml:space="preserve">pirmās kārtas </w:t>
      </w:r>
      <w:r w:rsidRPr="003E5687">
        <w:rPr>
          <w:sz w:val="24"/>
          <w:szCs w:val="24"/>
        </w:rPr>
        <w:t>materiālus</w:t>
      </w:r>
      <w:r>
        <w:rPr>
          <w:sz w:val="24"/>
          <w:szCs w:val="24"/>
        </w:rPr>
        <w:t>.</w:t>
      </w:r>
    </w:p>
    <w:p w14:paraId="0345923B" w14:textId="0449D504" w:rsidR="0055275F" w:rsidRPr="00F169A5" w:rsidRDefault="00EF6F9C" w:rsidP="002B0169">
      <w:pPr>
        <w:pStyle w:val="ListParagraph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Ņemot vērā </w:t>
      </w:r>
      <w:r w:rsidRPr="00441CE1">
        <w:rPr>
          <w:sz w:val="24"/>
          <w:szCs w:val="24"/>
        </w:rPr>
        <w:t>2.4.1.2.pasākum</w:t>
      </w:r>
      <w:r>
        <w:rPr>
          <w:sz w:val="24"/>
          <w:szCs w:val="24"/>
        </w:rPr>
        <w:t xml:space="preserve">ā plānoto atbalsta tvērumu (gan bateriju un elektrovilcienu iegāde, gan </w:t>
      </w:r>
      <w:proofErr w:type="spellStart"/>
      <w:r>
        <w:rPr>
          <w:sz w:val="24"/>
          <w:szCs w:val="24"/>
        </w:rPr>
        <w:t>posmoto</w:t>
      </w:r>
      <w:proofErr w:type="spellEnd"/>
      <w:r>
        <w:rPr>
          <w:sz w:val="24"/>
          <w:szCs w:val="24"/>
        </w:rPr>
        <w:t xml:space="preserve"> projektu pabeigšana), p</w:t>
      </w:r>
      <w:r w:rsidR="00481FD5">
        <w:rPr>
          <w:sz w:val="24"/>
          <w:szCs w:val="24"/>
        </w:rPr>
        <w:t>ieņemt zināšanai, ka turpināmas diskusijas par</w:t>
      </w:r>
      <w:r w:rsidR="00274447" w:rsidRPr="00F169A5">
        <w:rPr>
          <w:sz w:val="24"/>
          <w:szCs w:val="24"/>
        </w:rPr>
        <w:t xml:space="preserve"> </w:t>
      </w:r>
      <w:r w:rsidR="00481FD5" w:rsidRPr="00441CE1">
        <w:rPr>
          <w:sz w:val="24"/>
          <w:szCs w:val="24"/>
        </w:rPr>
        <w:t>komercdarbības atbalsta piešķīrum</w:t>
      </w:r>
      <w:r w:rsidR="00481FD5">
        <w:rPr>
          <w:sz w:val="24"/>
          <w:szCs w:val="24"/>
        </w:rPr>
        <w:t>a</w:t>
      </w:r>
      <w:r>
        <w:rPr>
          <w:sz w:val="24"/>
          <w:szCs w:val="24"/>
        </w:rPr>
        <w:t xml:space="preserve"> nosacījumiem</w:t>
      </w:r>
      <w:r w:rsidR="006C7FE8" w:rsidRPr="00F169A5">
        <w:rPr>
          <w:sz w:val="24"/>
          <w:szCs w:val="24"/>
        </w:rPr>
        <w:t xml:space="preserve">. </w:t>
      </w:r>
    </w:p>
    <w:p w14:paraId="1F079E6D" w14:textId="7C288B10" w:rsidR="0055275F" w:rsidRPr="00695942" w:rsidRDefault="00B82C7C" w:rsidP="002B0169">
      <w:pPr>
        <w:pStyle w:val="ListParagraph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SM 2.4.1.2.</w:t>
      </w:r>
      <w:r w:rsidR="0055275F" w:rsidRPr="00695942">
        <w:rPr>
          <w:sz w:val="24"/>
          <w:szCs w:val="24"/>
        </w:rPr>
        <w:t>pasākuma</w:t>
      </w:r>
      <w:r>
        <w:rPr>
          <w:sz w:val="24"/>
          <w:szCs w:val="24"/>
        </w:rPr>
        <w:t xml:space="preserve"> pirmās kārtas</w:t>
      </w:r>
      <w:r w:rsidR="0055275F" w:rsidRPr="00695942">
        <w:rPr>
          <w:sz w:val="24"/>
          <w:szCs w:val="24"/>
        </w:rPr>
        <w:t xml:space="preserve"> </w:t>
      </w:r>
      <w:r w:rsidR="0055275F">
        <w:rPr>
          <w:sz w:val="24"/>
          <w:szCs w:val="24"/>
        </w:rPr>
        <w:t xml:space="preserve">projekta iesnieguma vērtēšanas </w:t>
      </w:r>
      <w:r w:rsidR="0055275F" w:rsidRPr="00695942">
        <w:rPr>
          <w:sz w:val="24"/>
          <w:szCs w:val="24"/>
        </w:rPr>
        <w:t>kritēriju</w:t>
      </w:r>
      <w:r w:rsidR="0055275F">
        <w:rPr>
          <w:sz w:val="24"/>
          <w:szCs w:val="24"/>
        </w:rPr>
        <w:t xml:space="preserve">s </w:t>
      </w:r>
      <w:r w:rsidR="0055275F" w:rsidRPr="00695942">
        <w:rPr>
          <w:sz w:val="24"/>
          <w:szCs w:val="24"/>
        </w:rPr>
        <w:t xml:space="preserve">virzīt apstiprināšanai </w:t>
      </w:r>
      <w:r w:rsidR="0055275F">
        <w:rPr>
          <w:sz w:val="24"/>
          <w:szCs w:val="24"/>
        </w:rPr>
        <w:t>ES</w:t>
      </w:r>
      <w:r w:rsidR="0055275F" w:rsidRPr="00695942">
        <w:rPr>
          <w:sz w:val="24"/>
          <w:szCs w:val="24"/>
        </w:rPr>
        <w:t xml:space="preserve"> fondu 2021.–2027.gada plānošanas perioda </w:t>
      </w:r>
      <w:r>
        <w:rPr>
          <w:sz w:val="24"/>
          <w:szCs w:val="24"/>
        </w:rPr>
        <w:t>UK.</w:t>
      </w:r>
    </w:p>
    <w:p w14:paraId="3E8BC67F" w14:textId="77777777" w:rsidR="00F533DA" w:rsidRDefault="00F533DA" w:rsidP="00F533DA"/>
    <w:p w14:paraId="6B548DE6" w14:textId="77777777" w:rsidR="002B0169" w:rsidRDefault="002B0169" w:rsidP="00F533DA"/>
    <w:p w14:paraId="7BFF5FF6" w14:textId="77777777" w:rsidR="00B82C7C" w:rsidRPr="00B82C7C" w:rsidRDefault="00F533DA" w:rsidP="00B82C7C">
      <w:pPr>
        <w:pBdr>
          <w:bottom w:val="single" w:sz="4" w:space="1" w:color="auto"/>
        </w:pBdr>
        <w:jc w:val="center"/>
        <w:rPr>
          <w:b/>
          <w:bCs/>
        </w:rPr>
      </w:pPr>
      <w:r w:rsidRPr="00695942">
        <w:rPr>
          <w:b/>
          <w:bCs/>
        </w:rPr>
        <w:t xml:space="preserve">3. </w:t>
      </w:r>
      <w:r w:rsidR="00B82C7C" w:rsidRPr="00B82C7C">
        <w:rPr>
          <w:b/>
          <w:bCs/>
        </w:rPr>
        <w:t xml:space="preserve">Eiropas Savienības kohēzijas politikas programmas  2021. - 2027. gadam </w:t>
      </w:r>
    </w:p>
    <w:p w14:paraId="134AD3BA" w14:textId="0F116C69" w:rsidR="00F533DA" w:rsidRPr="00A25E4C" w:rsidRDefault="00B82C7C" w:rsidP="00B82C7C">
      <w:pPr>
        <w:pBdr>
          <w:bottom w:val="single" w:sz="4" w:space="1" w:color="auto"/>
        </w:pBdr>
        <w:jc w:val="center"/>
        <w:rPr>
          <w:b/>
          <w:bCs/>
        </w:rPr>
      </w:pPr>
      <w:r w:rsidRPr="00B82C7C">
        <w:rPr>
          <w:b/>
          <w:bCs/>
        </w:rPr>
        <w:t xml:space="preserve">3.1.1.specifiskā atbalsta mērķa “Attīstīt ilgtspējīgu, pret klimatu izturīgu, inteliģentu, drošu un </w:t>
      </w:r>
      <w:proofErr w:type="spellStart"/>
      <w:r w:rsidRPr="00B82C7C">
        <w:rPr>
          <w:b/>
          <w:bCs/>
        </w:rPr>
        <w:t>vairākveidu</w:t>
      </w:r>
      <w:proofErr w:type="spellEnd"/>
      <w:r w:rsidRPr="00B82C7C">
        <w:rPr>
          <w:b/>
          <w:bCs/>
        </w:rPr>
        <w:t xml:space="preserve"> TEN-T infrastruktūru” 3.1.1.6.pasākuma “Lielo ostu publiskās infrastruktūras attīstība” materiāli</w:t>
      </w:r>
    </w:p>
    <w:p w14:paraId="38A93507" w14:textId="77777777" w:rsidR="00F533DA" w:rsidRDefault="00F533DA" w:rsidP="00F533DA"/>
    <w:p w14:paraId="4E6418B2" w14:textId="77777777" w:rsidR="00F533DA" w:rsidRDefault="00F533DA" w:rsidP="00F533DA">
      <w:r w:rsidRPr="005C423B">
        <w:t>Vienojās:</w:t>
      </w:r>
    </w:p>
    <w:p w14:paraId="68191C3A" w14:textId="121D3174" w:rsidR="0055275F" w:rsidRDefault="0055275F" w:rsidP="002B0169">
      <w:pPr>
        <w:pStyle w:val="ListParagraph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55275F">
        <w:rPr>
          <w:sz w:val="24"/>
          <w:szCs w:val="24"/>
        </w:rPr>
        <w:t xml:space="preserve">Izskatīt </w:t>
      </w:r>
      <w:r w:rsidR="00B82C7C">
        <w:rPr>
          <w:sz w:val="24"/>
          <w:szCs w:val="24"/>
        </w:rPr>
        <w:t>SM</w:t>
      </w:r>
      <w:r>
        <w:rPr>
          <w:sz w:val="24"/>
          <w:szCs w:val="24"/>
        </w:rPr>
        <w:t xml:space="preserve"> </w:t>
      </w:r>
      <w:r w:rsidR="00B82C7C" w:rsidRPr="00B82C7C">
        <w:rPr>
          <w:sz w:val="24"/>
          <w:szCs w:val="24"/>
        </w:rPr>
        <w:t xml:space="preserve">3.1.1.specifiskā atbalsta mērķa “Attīstīt ilgtspējīgu, pret klimatu izturīgu, inteliģentu, drošu un </w:t>
      </w:r>
      <w:proofErr w:type="spellStart"/>
      <w:r w:rsidR="00B82C7C" w:rsidRPr="00B82C7C">
        <w:rPr>
          <w:sz w:val="24"/>
          <w:szCs w:val="24"/>
        </w:rPr>
        <w:t>vairākveidu</w:t>
      </w:r>
      <w:proofErr w:type="spellEnd"/>
      <w:r w:rsidR="00B82C7C" w:rsidRPr="00B82C7C">
        <w:rPr>
          <w:sz w:val="24"/>
          <w:szCs w:val="24"/>
        </w:rPr>
        <w:t xml:space="preserve"> TEN-T infrastruktūru” 3.1.1.6.pasākuma “Lielo ostu publiskās infrastruktūras attīstība” materiāli </w:t>
      </w:r>
      <w:r w:rsidRPr="00695942">
        <w:rPr>
          <w:sz w:val="24"/>
          <w:szCs w:val="24"/>
        </w:rPr>
        <w:t xml:space="preserve">(turpmāk – </w:t>
      </w:r>
      <w:r w:rsidR="00B82C7C">
        <w:rPr>
          <w:sz w:val="24"/>
          <w:szCs w:val="24"/>
        </w:rPr>
        <w:t>3.1.1.6</w:t>
      </w:r>
      <w:r>
        <w:rPr>
          <w:sz w:val="24"/>
          <w:szCs w:val="24"/>
        </w:rPr>
        <w:t>.</w:t>
      </w:r>
      <w:r w:rsidRPr="00695942">
        <w:rPr>
          <w:sz w:val="24"/>
          <w:szCs w:val="24"/>
        </w:rPr>
        <w:t xml:space="preserve">pasākums) </w:t>
      </w:r>
      <w:r w:rsidRPr="003E5687">
        <w:rPr>
          <w:sz w:val="24"/>
          <w:szCs w:val="24"/>
        </w:rPr>
        <w:t>materiālus</w:t>
      </w:r>
      <w:r>
        <w:rPr>
          <w:sz w:val="24"/>
          <w:szCs w:val="24"/>
        </w:rPr>
        <w:t>.</w:t>
      </w:r>
    </w:p>
    <w:p w14:paraId="52589211" w14:textId="7D8E178B" w:rsidR="00FF3021" w:rsidRPr="00695942" w:rsidRDefault="00B82C7C" w:rsidP="002B0169">
      <w:pPr>
        <w:pStyle w:val="ListParagraph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SM 3.1.1.6.</w:t>
      </w:r>
      <w:r w:rsidR="00FF3021" w:rsidRPr="00695942">
        <w:rPr>
          <w:sz w:val="24"/>
          <w:szCs w:val="24"/>
        </w:rPr>
        <w:t xml:space="preserve">pasākuma </w:t>
      </w:r>
      <w:r w:rsidR="00FF3021">
        <w:rPr>
          <w:sz w:val="24"/>
          <w:szCs w:val="24"/>
        </w:rPr>
        <w:t xml:space="preserve">projekta iesnieguma vērtēšanas </w:t>
      </w:r>
      <w:r w:rsidR="00FF3021" w:rsidRPr="00695942">
        <w:rPr>
          <w:sz w:val="24"/>
          <w:szCs w:val="24"/>
        </w:rPr>
        <w:t>kritēriju</w:t>
      </w:r>
      <w:r w:rsidR="00FF3021">
        <w:rPr>
          <w:sz w:val="24"/>
          <w:szCs w:val="24"/>
        </w:rPr>
        <w:t xml:space="preserve">s </w:t>
      </w:r>
      <w:r w:rsidR="00FF3021" w:rsidRPr="00695942">
        <w:rPr>
          <w:sz w:val="24"/>
          <w:szCs w:val="24"/>
        </w:rPr>
        <w:t xml:space="preserve">virzīt apstiprināšanai </w:t>
      </w:r>
      <w:r w:rsidR="00FF3021">
        <w:rPr>
          <w:sz w:val="24"/>
          <w:szCs w:val="24"/>
        </w:rPr>
        <w:t>ES</w:t>
      </w:r>
      <w:r w:rsidR="00FF3021" w:rsidRPr="00695942">
        <w:rPr>
          <w:sz w:val="24"/>
          <w:szCs w:val="24"/>
        </w:rPr>
        <w:t xml:space="preserve"> fondu 2021.–2027.gada plānošanas perioda </w:t>
      </w:r>
      <w:r w:rsidR="00FF3021">
        <w:rPr>
          <w:sz w:val="24"/>
          <w:szCs w:val="24"/>
        </w:rPr>
        <w:t>UK</w:t>
      </w:r>
      <w:r w:rsidR="00FF3021" w:rsidRPr="00695942">
        <w:rPr>
          <w:sz w:val="24"/>
          <w:szCs w:val="24"/>
        </w:rPr>
        <w:t>.</w:t>
      </w:r>
    </w:p>
    <w:p w14:paraId="243F28D9" w14:textId="77777777" w:rsidR="00F533DA" w:rsidRDefault="00F533DA" w:rsidP="00F533DA"/>
    <w:p w14:paraId="260EDF41" w14:textId="77777777" w:rsidR="00F533DA" w:rsidRDefault="00F533DA" w:rsidP="00F533DA"/>
    <w:p w14:paraId="239792F6" w14:textId="62652AC3" w:rsidR="00F533DA" w:rsidRDefault="00F533DA" w:rsidP="00F533DA">
      <w:r w:rsidRPr="0078685D">
        <w:t xml:space="preserve">Sēdes </w:t>
      </w:r>
      <w:r>
        <w:t>noslēgums</w:t>
      </w:r>
      <w:r w:rsidRPr="0078685D">
        <w:t xml:space="preserve"> plkst.: </w:t>
      </w:r>
      <w:r w:rsidR="00BE02A8">
        <w:t>10.50</w:t>
      </w:r>
    </w:p>
    <w:p w14:paraId="08EDB2C0" w14:textId="77777777" w:rsidR="00F533DA" w:rsidRDefault="00F533DA" w:rsidP="00F533DA"/>
    <w:p w14:paraId="21EF18E3" w14:textId="77777777" w:rsidR="00F533DA" w:rsidRDefault="00F533DA" w:rsidP="00F533DA"/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840"/>
      </w:tblGrid>
      <w:tr w:rsidR="00532512" w:rsidRPr="00156630" w14:paraId="41AB7BD7" w14:textId="77777777" w:rsidTr="006C49E5">
        <w:trPr>
          <w:trHeight w:val="60"/>
        </w:trPr>
        <w:tc>
          <w:tcPr>
            <w:tcW w:w="4957" w:type="dxa"/>
            <w:vAlign w:val="center"/>
          </w:tcPr>
          <w:p w14:paraId="2879D89D" w14:textId="69A4A6DC" w:rsidR="00532512" w:rsidRPr="00156630" w:rsidRDefault="00532512" w:rsidP="006C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3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Finanšu ministrijas Eiropas Savienības fondu stratēģijas departamenta </w:t>
            </w:r>
            <w:r w:rsidR="00E73ABF" w:rsidRPr="00E73A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direktora vietniece</w:t>
            </w:r>
          </w:p>
        </w:tc>
        <w:tc>
          <w:tcPr>
            <w:tcW w:w="1984" w:type="dxa"/>
            <w:vAlign w:val="center"/>
          </w:tcPr>
          <w:p w14:paraId="6577B73B" w14:textId="77777777" w:rsidR="00532512" w:rsidRPr="00156630" w:rsidRDefault="00532512" w:rsidP="006C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edoc_info2"/>
            <w:r w:rsidRPr="00156630"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  <w:bookmarkEnd w:id="0"/>
          </w:p>
        </w:tc>
        <w:tc>
          <w:tcPr>
            <w:tcW w:w="2840" w:type="dxa"/>
            <w:vAlign w:val="center"/>
          </w:tcPr>
          <w:p w14:paraId="3CBD351D" w14:textId="4A758D24" w:rsidR="00532512" w:rsidRPr="00156630" w:rsidRDefault="00E73ABF" w:rsidP="006C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I.Valtmane</w:t>
            </w:r>
            <w:proofErr w:type="spellEnd"/>
          </w:p>
        </w:tc>
      </w:tr>
      <w:tr w:rsidR="00532512" w:rsidRPr="00532512" w14:paraId="1D78E364" w14:textId="77777777" w:rsidTr="006C49E5">
        <w:trPr>
          <w:trHeight w:val="60"/>
        </w:trPr>
        <w:tc>
          <w:tcPr>
            <w:tcW w:w="9781" w:type="dxa"/>
            <w:gridSpan w:val="3"/>
            <w:vAlign w:val="center"/>
          </w:tcPr>
          <w:p w14:paraId="6ABACCEE" w14:textId="77777777" w:rsidR="00532512" w:rsidRPr="00532512" w:rsidRDefault="00532512" w:rsidP="006C49E5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B54C0E5" w14:textId="77777777" w:rsidR="00532512" w:rsidRPr="00532512" w:rsidRDefault="00532512" w:rsidP="006C49E5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25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*Dokuments ir parakstīts ar drošu elektronisko parakstu</w:t>
            </w:r>
          </w:p>
        </w:tc>
      </w:tr>
    </w:tbl>
    <w:p w14:paraId="68ECA729" w14:textId="77777777" w:rsidR="00F533DA" w:rsidRDefault="00F533DA" w:rsidP="00F533DA"/>
    <w:p w14:paraId="59D5C9BA" w14:textId="77777777" w:rsidR="00F533DA" w:rsidRDefault="00F533DA" w:rsidP="00F533DA"/>
    <w:p w14:paraId="79A8CBBE" w14:textId="77777777" w:rsidR="00F533DA" w:rsidRDefault="00F533DA" w:rsidP="00F533DA"/>
    <w:p w14:paraId="5B9D3CCC" w14:textId="77777777" w:rsidR="00F533DA" w:rsidRDefault="00F533DA" w:rsidP="00F533DA"/>
    <w:p w14:paraId="3A3232DB" w14:textId="77777777" w:rsidR="00F533DA" w:rsidRDefault="00F533DA" w:rsidP="00F533DA">
      <w:r w:rsidRPr="00C74132">
        <w:rPr>
          <w:i/>
          <w:sz w:val="20"/>
          <w:szCs w:val="20"/>
        </w:rPr>
        <w:t>L. Dzelzkalēja, 20260109</w:t>
      </w:r>
    </w:p>
    <w:p w14:paraId="6488671A" w14:textId="77777777" w:rsidR="0095483D" w:rsidRDefault="0095483D"/>
    <w:p w14:paraId="53DFDC4D" w14:textId="77777777" w:rsidR="00532512" w:rsidRDefault="00532512"/>
    <w:sectPr w:rsidR="00532512" w:rsidSect="00A25E4C">
      <w:headerReference w:type="default" r:id="rId7"/>
      <w:footerReference w:type="default" r:id="rId8"/>
      <w:pgSz w:w="11906" w:h="16838"/>
      <w:pgMar w:top="1440" w:right="1080" w:bottom="993" w:left="108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6D23" w14:textId="77777777" w:rsidR="00D863B5" w:rsidRDefault="00D863B5" w:rsidP="00D863B5">
      <w:r>
        <w:separator/>
      </w:r>
    </w:p>
  </w:endnote>
  <w:endnote w:type="continuationSeparator" w:id="0">
    <w:p w14:paraId="11C86EB7" w14:textId="77777777" w:rsidR="00D863B5" w:rsidRDefault="00D863B5" w:rsidP="00D8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592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1DD8F" w14:textId="77777777" w:rsidR="003D20A4" w:rsidRDefault="001C2B7F" w:rsidP="00A25E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ECD4" w14:textId="77777777" w:rsidR="00D863B5" w:rsidRDefault="00D863B5" w:rsidP="00D863B5">
      <w:r>
        <w:separator/>
      </w:r>
    </w:p>
  </w:footnote>
  <w:footnote w:type="continuationSeparator" w:id="0">
    <w:p w14:paraId="4C845020" w14:textId="77777777" w:rsidR="00D863B5" w:rsidRDefault="00D863B5" w:rsidP="00D8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BFBF" w14:textId="396B98B2" w:rsidR="003D20A4" w:rsidRPr="00E325BE" w:rsidRDefault="00D863B5" w:rsidP="00E325BE">
    <w:pPr>
      <w:pStyle w:val="Header"/>
      <w:jc w:val="right"/>
      <w:rPr>
        <w:i/>
        <w:iCs/>
      </w:rPr>
    </w:pPr>
    <w:r>
      <w:rPr>
        <w:i/>
        <w:iCs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3D20"/>
    <w:multiLevelType w:val="hybridMultilevel"/>
    <w:tmpl w:val="93EA11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A93867"/>
    <w:multiLevelType w:val="multilevel"/>
    <w:tmpl w:val="79788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A5906"/>
    <w:multiLevelType w:val="hybridMultilevel"/>
    <w:tmpl w:val="93EA11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D1D0B"/>
    <w:multiLevelType w:val="hybridMultilevel"/>
    <w:tmpl w:val="93EA11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C611EC"/>
    <w:multiLevelType w:val="hybridMultilevel"/>
    <w:tmpl w:val="93EA11C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6B0CDA"/>
    <w:multiLevelType w:val="hybridMultilevel"/>
    <w:tmpl w:val="93EA11C8"/>
    <w:lvl w:ilvl="0" w:tplc="38A697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279147">
    <w:abstractNumId w:val="5"/>
  </w:num>
  <w:num w:numId="2" w16cid:durableId="329797282">
    <w:abstractNumId w:val="2"/>
  </w:num>
  <w:num w:numId="3" w16cid:durableId="1546217979">
    <w:abstractNumId w:val="4"/>
  </w:num>
  <w:num w:numId="4" w16cid:durableId="1008750214">
    <w:abstractNumId w:val="0"/>
  </w:num>
  <w:num w:numId="5" w16cid:durableId="204758210">
    <w:abstractNumId w:val="1"/>
  </w:num>
  <w:num w:numId="6" w16cid:durableId="1797797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DA"/>
    <w:rsid w:val="0019701D"/>
    <w:rsid w:val="001C2B7F"/>
    <w:rsid w:val="001E6C66"/>
    <w:rsid w:val="00237772"/>
    <w:rsid w:val="00274447"/>
    <w:rsid w:val="002B0169"/>
    <w:rsid w:val="00373BAE"/>
    <w:rsid w:val="00390A19"/>
    <w:rsid w:val="003D20A4"/>
    <w:rsid w:val="00481FD5"/>
    <w:rsid w:val="004906FE"/>
    <w:rsid w:val="00532512"/>
    <w:rsid w:val="0055275F"/>
    <w:rsid w:val="0055778D"/>
    <w:rsid w:val="005757FA"/>
    <w:rsid w:val="005B6152"/>
    <w:rsid w:val="006C4C8C"/>
    <w:rsid w:val="006C7FE8"/>
    <w:rsid w:val="007C27EC"/>
    <w:rsid w:val="0095483D"/>
    <w:rsid w:val="00AC129B"/>
    <w:rsid w:val="00AF1369"/>
    <w:rsid w:val="00B82826"/>
    <w:rsid w:val="00B82C7C"/>
    <w:rsid w:val="00BA63BA"/>
    <w:rsid w:val="00BE02A8"/>
    <w:rsid w:val="00D863B5"/>
    <w:rsid w:val="00E312A2"/>
    <w:rsid w:val="00E73ABF"/>
    <w:rsid w:val="00EF6F9C"/>
    <w:rsid w:val="00F169A5"/>
    <w:rsid w:val="00F533DA"/>
    <w:rsid w:val="00FC6BBA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7A6B"/>
  <w15:chartTrackingRefBased/>
  <w15:docId w15:val="{983717D7-704A-4BD2-92E8-E53976F8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DA"/>
    <w:pPr>
      <w:spacing w:after="0" w:line="240" w:lineRule="auto"/>
    </w:pPr>
    <w:rPr>
      <w:rFonts w:eastAsia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533DA"/>
    <w:pPr>
      <w:jc w:val="center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533DA"/>
    <w:rPr>
      <w:rFonts w:eastAsia="Times New Roman"/>
      <w:b/>
      <w:kern w:val="0"/>
      <w:sz w:val="28"/>
      <w:szCs w:val="20"/>
      <w14:ligatures w14:val="none"/>
    </w:rPr>
  </w:style>
  <w:style w:type="table" w:styleId="TableGrid">
    <w:name w:val="Table Grid"/>
    <w:basedOn w:val="TableNormal"/>
    <w:uiPriority w:val="39"/>
    <w:rsid w:val="00F533DA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H&amp;P List Paragraph,Strip,Colorful List - Accent 12"/>
    <w:basedOn w:val="Normal"/>
    <w:link w:val="ListParagraphChar"/>
    <w:uiPriority w:val="34"/>
    <w:qFormat/>
    <w:rsid w:val="00F533DA"/>
    <w:pPr>
      <w:suppressAutoHyphens/>
      <w:ind w:left="720"/>
      <w:jc w:val="center"/>
    </w:pPr>
    <w:rPr>
      <w:rFonts w:eastAsia="Calibri"/>
      <w:sz w:val="28"/>
      <w:szCs w:val="22"/>
      <w:lang w:eastAsia="zh-CN"/>
    </w:rPr>
  </w:style>
  <w:style w:type="character" w:customStyle="1" w:styleId="ListParagraphChar">
    <w:name w:val="List Paragraph Char"/>
    <w:aliases w:val="2 Char,H&amp;P List Paragraph Char,Strip Char,Colorful List - Accent 12 Char"/>
    <w:link w:val="ListParagraph"/>
    <w:uiPriority w:val="34"/>
    <w:qFormat/>
    <w:locked/>
    <w:rsid w:val="00F533DA"/>
    <w:rPr>
      <w:rFonts w:eastAsia="Calibri"/>
      <w:kern w:val="0"/>
      <w:sz w:val="28"/>
      <w:szCs w:val="22"/>
      <w:lang w:eastAsia="zh-CN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F533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533DA"/>
    <w:rPr>
      <w:rFonts w:eastAsia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33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3DA"/>
    <w:rPr>
      <w:rFonts w:eastAsia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33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3DA"/>
    <w:rPr>
      <w:rFonts w:eastAsia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B6152"/>
    <w:rPr>
      <w:color w:val="808080"/>
    </w:rPr>
  </w:style>
  <w:style w:type="paragraph" w:styleId="Revision">
    <w:name w:val="Revision"/>
    <w:hidden/>
    <w:uiPriority w:val="99"/>
    <w:semiHidden/>
    <w:rsid w:val="007C27EC"/>
    <w:pPr>
      <w:spacing w:after="0" w:line="240" w:lineRule="auto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6EF3C-1DDC-4355-8EB3-8140058E9B18}"/>
      </w:docPartPr>
      <w:docPartBody>
        <w:p w:rsidR="00011523" w:rsidRDefault="008B5CFF">
          <w:r w:rsidRPr="005E0D8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FF"/>
    <w:rsid w:val="00011523"/>
    <w:rsid w:val="008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C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3804</Words>
  <Characters>2169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Dzelzkalēja</dc:creator>
  <cp:keywords/>
  <dc:description/>
  <cp:lastModifiedBy>Liene Dzelzkalēja</cp:lastModifiedBy>
  <cp:revision>29</cp:revision>
  <dcterms:created xsi:type="dcterms:W3CDTF">2023-04-05T06:50:00Z</dcterms:created>
  <dcterms:modified xsi:type="dcterms:W3CDTF">2024-04-04T11:28:00Z</dcterms:modified>
</cp:coreProperties>
</file>