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3B64" w14:textId="1CA4C8A6" w:rsidR="00137F01" w:rsidRPr="00A57181" w:rsidRDefault="00137F01" w:rsidP="00137F01">
      <w:pPr>
        <w:pStyle w:val="Standard"/>
        <w:jc w:val="center"/>
        <w:rPr>
          <w:b/>
          <w:szCs w:val="24"/>
        </w:rPr>
      </w:pPr>
      <w:r w:rsidRPr="00A57181">
        <w:rPr>
          <w:b/>
          <w:szCs w:val="24"/>
        </w:rPr>
        <w:t>Izziņa ar saņemtajiem komentāriem par Eiropas Savienības fondu 2021.–</w:t>
      </w:r>
      <w:proofErr w:type="gramStart"/>
      <w:r w:rsidRPr="00A57181">
        <w:rPr>
          <w:b/>
          <w:szCs w:val="24"/>
        </w:rPr>
        <w:t>2027.gada</w:t>
      </w:r>
      <w:proofErr w:type="gramEnd"/>
      <w:r w:rsidRPr="00A57181">
        <w:rPr>
          <w:b/>
          <w:szCs w:val="24"/>
        </w:rPr>
        <w:t xml:space="preserve"> plānošanas perioda </w:t>
      </w:r>
    </w:p>
    <w:p w14:paraId="73B12ACC" w14:textId="5B794F4D" w:rsidR="00137F01" w:rsidRPr="00A57181" w:rsidRDefault="008C0760" w:rsidP="00A57181">
      <w:pPr>
        <w:pStyle w:val="Standard"/>
        <w:jc w:val="center"/>
        <w:rPr>
          <w:b/>
          <w:szCs w:val="24"/>
        </w:rPr>
      </w:pPr>
      <w:sdt>
        <w:sdtPr>
          <w:rPr>
            <w:b/>
            <w:szCs w:val="24"/>
          </w:rPr>
          <w:id w:val="-1016078257"/>
          <w:placeholder>
            <w:docPart w:val="DefaultPlaceholder_-1854013437"/>
          </w:placeholder>
          <w:date w:fullDate="2024-04-25T00:00:00Z">
            <w:dateFormat w:val="dd.MM.yyyy"/>
            <w:lid w:val="lv-LV"/>
            <w:storeMappedDataAs w:val="dateTime"/>
            <w:calendar w:val="gregorian"/>
          </w:date>
        </w:sdtPr>
        <w:sdtEndPr/>
        <w:sdtContent>
          <w:r w:rsidR="00BF5830">
            <w:rPr>
              <w:b/>
              <w:szCs w:val="24"/>
            </w:rPr>
            <w:t>25.04.2024</w:t>
          </w:r>
        </w:sdtContent>
      </w:sdt>
      <w:r w:rsidR="008B4943">
        <w:rPr>
          <w:b/>
          <w:szCs w:val="24"/>
        </w:rPr>
        <w:t xml:space="preserve">. </w:t>
      </w:r>
      <w:r w:rsidR="00137F01" w:rsidRPr="00A57181">
        <w:rPr>
          <w:b/>
          <w:szCs w:val="24"/>
        </w:rPr>
        <w:t xml:space="preserve">apakškomitejas sēdē izskatāmajiem </w:t>
      </w:r>
      <w:r w:rsidR="00804F5D">
        <w:rPr>
          <w:b/>
          <w:szCs w:val="24"/>
        </w:rPr>
        <w:t>Kultūras</w:t>
      </w:r>
      <w:r w:rsidR="00A57181" w:rsidRPr="00A57181">
        <w:rPr>
          <w:b/>
          <w:szCs w:val="24"/>
        </w:rPr>
        <w:t xml:space="preserve"> ministrijas </w:t>
      </w:r>
      <w:r w:rsidR="00804F5D" w:rsidRPr="00804F5D">
        <w:rPr>
          <w:b/>
          <w:szCs w:val="24"/>
        </w:rPr>
        <w:t>4.3.2.specifiskā atbalsta mērķa “Kultūras un tūrisma lomas palielināšana ekonomiskajā attīstībā, sociālajā iekļaušanā un sociālajās inovācijās</w:t>
      </w:r>
      <w:r w:rsidR="00A57181" w:rsidRPr="00A57181">
        <w:rPr>
          <w:b/>
          <w:szCs w:val="24"/>
        </w:rPr>
        <w:t xml:space="preserve">” </w:t>
      </w:r>
      <w:r w:rsidR="00137F01"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Reatabula"/>
        <w:tblW w:w="0" w:type="auto"/>
        <w:tblLook w:val="04A0" w:firstRow="1" w:lastRow="0" w:firstColumn="1" w:lastColumn="0" w:noHBand="0" w:noVBand="1"/>
      </w:tblPr>
      <w:tblGrid>
        <w:gridCol w:w="562"/>
        <w:gridCol w:w="3119"/>
        <w:gridCol w:w="4687"/>
        <w:gridCol w:w="2790"/>
        <w:gridCol w:w="2790"/>
      </w:tblGrid>
      <w:tr w:rsidR="00A57181" w:rsidRPr="000054D9" w14:paraId="1DC85C06" w14:textId="77777777" w:rsidTr="6692F8A4">
        <w:tc>
          <w:tcPr>
            <w:tcW w:w="562" w:type="dxa"/>
          </w:tcPr>
          <w:p w14:paraId="4BB141E3" w14:textId="76725B81" w:rsidR="00A57181" w:rsidRPr="000054D9" w:rsidRDefault="00A57181" w:rsidP="00137F01">
            <w:pPr>
              <w:pStyle w:val="Standard"/>
              <w:jc w:val="center"/>
              <w:rPr>
                <w:rFonts w:cs="Times New Roman"/>
                <w:b/>
                <w:bCs/>
                <w:sz w:val="22"/>
              </w:rPr>
            </w:pPr>
            <w:r w:rsidRPr="000054D9">
              <w:rPr>
                <w:rFonts w:cs="Times New Roman"/>
                <w:b/>
                <w:bCs/>
                <w:sz w:val="22"/>
              </w:rPr>
              <w:t>Nr.</w:t>
            </w:r>
          </w:p>
        </w:tc>
        <w:tc>
          <w:tcPr>
            <w:tcW w:w="3119" w:type="dxa"/>
          </w:tcPr>
          <w:p w14:paraId="6A3984BE" w14:textId="1C6C92FE" w:rsidR="00A57181" w:rsidRPr="000054D9" w:rsidRDefault="00A57181" w:rsidP="00137F01">
            <w:pPr>
              <w:pStyle w:val="Standard"/>
              <w:jc w:val="center"/>
              <w:rPr>
                <w:rFonts w:cs="Times New Roman"/>
                <w:b/>
                <w:bCs/>
                <w:sz w:val="22"/>
              </w:rPr>
            </w:pPr>
            <w:r w:rsidRPr="000054D9">
              <w:rPr>
                <w:rFonts w:cs="Times New Roman"/>
                <w:b/>
                <w:bCs/>
                <w:sz w:val="22"/>
              </w:rPr>
              <w:t>Materiālu esošā redakcija</w:t>
            </w:r>
          </w:p>
        </w:tc>
        <w:tc>
          <w:tcPr>
            <w:tcW w:w="4687" w:type="dxa"/>
          </w:tcPr>
          <w:p w14:paraId="3BA660B7" w14:textId="17AF2DD9" w:rsidR="00A57181" w:rsidRPr="000054D9" w:rsidRDefault="00A57181" w:rsidP="00A57181">
            <w:pPr>
              <w:pStyle w:val="Standard"/>
              <w:jc w:val="center"/>
              <w:rPr>
                <w:rFonts w:cs="Times New Roman"/>
                <w:b/>
                <w:bCs/>
                <w:sz w:val="22"/>
              </w:rPr>
            </w:pPr>
            <w:r w:rsidRPr="000054D9">
              <w:rPr>
                <w:rFonts w:cs="Times New Roman"/>
                <w:b/>
                <w:bCs/>
                <w:sz w:val="22"/>
              </w:rPr>
              <w:t>AK dalībnieka komentārs</w:t>
            </w:r>
          </w:p>
        </w:tc>
        <w:tc>
          <w:tcPr>
            <w:tcW w:w="2790" w:type="dxa"/>
          </w:tcPr>
          <w:p w14:paraId="78D91156" w14:textId="52B5B91F" w:rsidR="00A57181" w:rsidRPr="000054D9" w:rsidRDefault="00A57181" w:rsidP="00137F01">
            <w:pPr>
              <w:pStyle w:val="Standard"/>
              <w:jc w:val="center"/>
              <w:rPr>
                <w:rFonts w:cs="Times New Roman"/>
                <w:b/>
                <w:bCs/>
                <w:sz w:val="22"/>
              </w:rPr>
            </w:pPr>
            <w:r w:rsidRPr="000054D9">
              <w:rPr>
                <w:rFonts w:cs="Times New Roman"/>
                <w:b/>
                <w:bCs/>
                <w:sz w:val="22"/>
              </w:rPr>
              <w:t>AI viedoklis</w:t>
            </w:r>
          </w:p>
        </w:tc>
        <w:tc>
          <w:tcPr>
            <w:tcW w:w="2790" w:type="dxa"/>
          </w:tcPr>
          <w:p w14:paraId="3A7B0DAC" w14:textId="0C266D42" w:rsidR="00A57181" w:rsidRPr="000054D9" w:rsidRDefault="00A57181" w:rsidP="00137F01">
            <w:pPr>
              <w:pStyle w:val="Standard"/>
              <w:jc w:val="center"/>
              <w:rPr>
                <w:rFonts w:cs="Times New Roman"/>
                <w:b/>
                <w:bCs/>
                <w:sz w:val="22"/>
              </w:rPr>
            </w:pPr>
            <w:r w:rsidRPr="000054D9">
              <w:rPr>
                <w:rFonts w:cs="Times New Roman"/>
                <w:b/>
                <w:bCs/>
                <w:sz w:val="22"/>
              </w:rPr>
              <w:t>Gala redakcija</w:t>
            </w:r>
          </w:p>
        </w:tc>
      </w:tr>
      <w:tr w:rsidR="00A57181" w:rsidRPr="000054D9" w14:paraId="380416C8" w14:textId="77777777" w:rsidTr="6692F8A4">
        <w:tc>
          <w:tcPr>
            <w:tcW w:w="562" w:type="dxa"/>
          </w:tcPr>
          <w:p w14:paraId="2A7F122C" w14:textId="77777777" w:rsidR="00A57181" w:rsidRPr="000054D9" w:rsidRDefault="00A57181" w:rsidP="00137F01">
            <w:pPr>
              <w:pStyle w:val="Standard"/>
              <w:jc w:val="center"/>
              <w:rPr>
                <w:rFonts w:cs="Times New Roman"/>
                <w:b/>
                <w:bCs/>
                <w:sz w:val="22"/>
              </w:rPr>
            </w:pPr>
          </w:p>
        </w:tc>
        <w:tc>
          <w:tcPr>
            <w:tcW w:w="3119" w:type="dxa"/>
          </w:tcPr>
          <w:p w14:paraId="67E8DA1B" w14:textId="393A3207" w:rsidR="00A57181" w:rsidRPr="000054D9" w:rsidRDefault="00A57181" w:rsidP="00137F01">
            <w:pPr>
              <w:pStyle w:val="Standard"/>
              <w:jc w:val="center"/>
              <w:rPr>
                <w:rFonts w:cs="Times New Roman"/>
                <w:b/>
                <w:bCs/>
                <w:sz w:val="22"/>
              </w:rPr>
            </w:pPr>
            <w:r w:rsidRPr="000054D9">
              <w:rPr>
                <w:rFonts w:cs="Times New Roman"/>
                <w:b/>
                <w:bCs/>
                <w:sz w:val="22"/>
              </w:rPr>
              <w:t>1</w:t>
            </w:r>
          </w:p>
        </w:tc>
        <w:tc>
          <w:tcPr>
            <w:tcW w:w="4687" w:type="dxa"/>
          </w:tcPr>
          <w:p w14:paraId="6B041985" w14:textId="089E011A" w:rsidR="00A57181" w:rsidRPr="000054D9" w:rsidRDefault="00A57181" w:rsidP="00137F01">
            <w:pPr>
              <w:pStyle w:val="Standard"/>
              <w:jc w:val="center"/>
              <w:rPr>
                <w:rFonts w:cs="Times New Roman"/>
                <w:b/>
                <w:bCs/>
                <w:sz w:val="22"/>
              </w:rPr>
            </w:pPr>
            <w:r w:rsidRPr="000054D9">
              <w:rPr>
                <w:rFonts w:cs="Times New Roman"/>
                <w:b/>
                <w:bCs/>
                <w:sz w:val="22"/>
              </w:rPr>
              <w:t>2</w:t>
            </w:r>
          </w:p>
        </w:tc>
        <w:tc>
          <w:tcPr>
            <w:tcW w:w="2790" w:type="dxa"/>
          </w:tcPr>
          <w:p w14:paraId="1753E9BF" w14:textId="309CEBA8" w:rsidR="00A57181" w:rsidRPr="000054D9" w:rsidRDefault="00A57181" w:rsidP="00137F01">
            <w:pPr>
              <w:pStyle w:val="Standard"/>
              <w:jc w:val="center"/>
              <w:rPr>
                <w:rFonts w:cs="Times New Roman"/>
                <w:b/>
                <w:bCs/>
                <w:sz w:val="22"/>
              </w:rPr>
            </w:pPr>
            <w:r w:rsidRPr="000054D9">
              <w:rPr>
                <w:rFonts w:cs="Times New Roman"/>
                <w:b/>
                <w:bCs/>
                <w:sz w:val="22"/>
              </w:rPr>
              <w:t>3</w:t>
            </w:r>
          </w:p>
        </w:tc>
        <w:tc>
          <w:tcPr>
            <w:tcW w:w="2790" w:type="dxa"/>
          </w:tcPr>
          <w:p w14:paraId="093B038E" w14:textId="0F096221" w:rsidR="00A57181" w:rsidRPr="000054D9" w:rsidRDefault="00A57181" w:rsidP="00137F01">
            <w:pPr>
              <w:pStyle w:val="Standard"/>
              <w:jc w:val="center"/>
              <w:rPr>
                <w:rFonts w:cs="Times New Roman"/>
                <w:b/>
                <w:bCs/>
                <w:sz w:val="22"/>
              </w:rPr>
            </w:pPr>
            <w:r w:rsidRPr="000054D9">
              <w:rPr>
                <w:rFonts w:cs="Times New Roman"/>
                <w:b/>
                <w:bCs/>
                <w:sz w:val="22"/>
              </w:rPr>
              <w:t>3</w:t>
            </w:r>
          </w:p>
        </w:tc>
      </w:tr>
      <w:tr w:rsidR="00A57181" w:rsidRPr="000054D9" w14:paraId="5F51158A" w14:textId="77777777" w:rsidTr="6692F8A4">
        <w:tc>
          <w:tcPr>
            <w:tcW w:w="13948" w:type="dxa"/>
            <w:gridSpan w:val="5"/>
            <w:shd w:val="clear" w:color="auto" w:fill="C5E0B3" w:themeFill="accent6" w:themeFillTint="66"/>
          </w:tcPr>
          <w:p w14:paraId="5E6EE4EC" w14:textId="30665F84" w:rsidR="00A57181" w:rsidRPr="000054D9" w:rsidRDefault="00A57181" w:rsidP="00A57181">
            <w:pPr>
              <w:pStyle w:val="Standard"/>
              <w:jc w:val="both"/>
              <w:rPr>
                <w:rFonts w:cs="Times New Roman"/>
                <w:b/>
                <w:bCs/>
                <w:sz w:val="22"/>
              </w:rPr>
            </w:pPr>
            <w:r w:rsidRPr="000054D9">
              <w:rPr>
                <w:rFonts w:cs="Times New Roman"/>
                <w:b/>
                <w:bCs/>
                <w:sz w:val="22"/>
              </w:rPr>
              <w:t>Par projektu iesniegumu vērtēšanas kritērijiem</w:t>
            </w:r>
          </w:p>
        </w:tc>
      </w:tr>
      <w:tr w:rsidR="00CC3F19" w:rsidRPr="000054D9" w14:paraId="0553269E" w14:textId="77777777" w:rsidTr="6692F8A4">
        <w:tc>
          <w:tcPr>
            <w:tcW w:w="562" w:type="dxa"/>
          </w:tcPr>
          <w:p w14:paraId="4CB2A556" w14:textId="77777777" w:rsidR="00CC3F19" w:rsidRPr="000054D9" w:rsidRDefault="00CC3F19" w:rsidP="00CC3F19">
            <w:pPr>
              <w:pStyle w:val="Standard"/>
              <w:numPr>
                <w:ilvl w:val="0"/>
                <w:numId w:val="13"/>
              </w:numPr>
              <w:ind w:hanging="1049"/>
              <w:jc w:val="center"/>
              <w:rPr>
                <w:b/>
                <w:bCs/>
                <w:sz w:val="22"/>
              </w:rPr>
            </w:pPr>
          </w:p>
        </w:tc>
        <w:tc>
          <w:tcPr>
            <w:tcW w:w="3119" w:type="dxa"/>
          </w:tcPr>
          <w:p w14:paraId="7C7DAF80" w14:textId="75EA603A" w:rsidR="00CC3F19" w:rsidRPr="00967E90" w:rsidRDefault="00CC3F19" w:rsidP="00CC3F19">
            <w:pPr>
              <w:pStyle w:val="Standard"/>
              <w:jc w:val="both"/>
              <w:rPr>
                <w:b/>
                <w:bCs/>
                <w:sz w:val="22"/>
              </w:rPr>
            </w:pPr>
            <w:r>
              <w:rPr>
                <w:b/>
                <w:bCs/>
                <w:sz w:val="22"/>
              </w:rPr>
              <w:t>Specifiskais atbilstības kritērijs 3.1.</w:t>
            </w:r>
          </w:p>
        </w:tc>
        <w:tc>
          <w:tcPr>
            <w:tcW w:w="4687" w:type="dxa"/>
          </w:tcPr>
          <w:p w14:paraId="3B7A9744" w14:textId="77777777" w:rsidR="00CC3F19" w:rsidRPr="00663B65" w:rsidRDefault="00CC3F19" w:rsidP="00CC3F19">
            <w:pPr>
              <w:pStyle w:val="Standard"/>
              <w:jc w:val="both"/>
              <w:rPr>
                <w:rStyle w:val="cf01"/>
                <w:rFonts w:ascii="Times New Roman" w:hAnsi="Times New Roman" w:cs="Times New Roman"/>
                <w:b/>
                <w:bCs/>
                <w:sz w:val="22"/>
                <w:szCs w:val="22"/>
              </w:rPr>
            </w:pPr>
            <w:r w:rsidRPr="00663B65">
              <w:rPr>
                <w:rStyle w:val="cf01"/>
                <w:rFonts w:ascii="Times New Roman" w:hAnsi="Times New Roman" w:cs="Times New Roman"/>
                <w:b/>
                <w:bCs/>
                <w:sz w:val="22"/>
                <w:szCs w:val="22"/>
              </w:rPr>
              <w:t>Finanšu ministrija</w:t>
            </w:r>
          </w:p>
          <w:p w14:paraId="6909F1D4" w14:textId="77777777" w:rsidR="00CC3F19" w:rsidRDefault="00CC3F19" w:rsidP="00CC3F19">
            <w:pPr>
              <w:pStyle w:val="Standard"/>
              <w:jc w:val="both"/>
              <w:rPr>
                <w:rStyle w:val="cf01"/>
                <w:szCs w:val="22"/>
              </w:rPr>
            </w:pPr>
          </w:p>
          <w:p w14:paraId="7CC2CAD7" w14:textId="4FED247F" w:rsidR="00CC3F19" w:rsidRPr="00967E90" w:rsidRDefault="00CC3F19" w:rsidP="00CC3F19">
            <w:pPr>
              <w:pStyle w:val="Standard"/>
              <w:jc w:val="both"/>
              <w:rPr>
                <w:b/>
                <w:bCs/>
                <w:sz w:val="22"/>
              </w:rPr>
            </w:pPr>
            <w:r w:rsidRPr="00663B65">
              <w:rPr>
                <w:rStyle w:val="cf01"/>
                <w:rFonts w:ascii="Times New Roman" w:hAnsi="Times New Roman" w:cs="Times New Roman"/>
                <w:sz w:val="22"/>
                <w:szCs w:val="22"/>
              </w:rPr>
              <w:t xml:space="preserve">Lūdzam izvērtēt iespēju papildināt ar jaunu specifisko atbilstības kritēriju vai papildināt esošo kritēriju, kas nosaka, ka projekta darbības paredzēts </w:t>
            </w:r>
            <w:r w:rsidRPr="00256DF3">
              <w:rPr>
                <w:rStyle w:val="cf01"/>
                <w:rFonts w:ascii="Times New Roman" w:hAnsi="Times New Roman" w:cs="Times New Roman"/>
                <w:sz w:val="22"/>
                <w:szCs w:val="22"/>
              </w:rPr>
              <w:t xml:space="preserve">īstenot, ievērojot </w:t>
            </w:r>
            <w:r w:rsidRPr="00256DF3">
              <w:rPr>
                <w:rStyle w:val="cf11"/>
                <w:rFonts w:ascii="Times New Roman" w:hAnsi="Times New Roman" w:cs="Times New Roman"/>
                <w:b/>
                <w:bCs/>
                <w:sz w:val="22"/>
                <w:szCs w:val="22"/>
              </w:rPr>
              <w:t>Starptautiskās kultūras pieminekļu un ievērojamu vietu padomes izstrādātos kvalitātes principus Eiropas Savienības finansētiem pārveidojumiem</w:t>
            </w:r>
            <w:r w:rsidRPr="00256DF3">
              <w:rPr>
                <w:rStyle w:val="cf11"/>
                <w:rFonts w:ascii="Times New Roman" w:hAnsi="Times New Roman" w:cs="Times New Roman"/>
                <w:sz w:val="22"/>
                <w:szCs w:val="22"/>
              </w:rPr>
              <w:t>, kas var ietekmēt kultūras mantojumu (ja attiecināms</w:t>
            </w:r>
            <w:r w:rsidRPr="00663B65">
              <w:rPr>
                <w:rStyle w:val="cf11"/>
                <w:rFonts w:ascii="Times New Roman" w:hAnsi="Times New Roman" w:cs="Times New Roman"/>
                <w:sz w:val="22"/>
                <w:szCs w:val="22"/>
              </w:rPr>
              <w:t>) saskaņā ar noteikumu projekta 29.2.apakšpunktu</w:t>
            </w:r>
            <w:r w:rsidR="003E6473" w:rsidRPr="00663B65">
              <w:rPr>
                <w:rStyle w:val="cf11"/>
                <w:rFonts w:ascii="Times New Roman" w:hAnsi="Times New Roman" w:cs="Times New Roman"/>
                <w:sz w:val="22"/>
                <w:szCs w:val="22"/>
              </w:rPr>
              <w:t>.</w:t>
            </w:r>
            <w:r w:rsidR="003E6473">
              <w:rPr>
                <w:rStyle w:val="cf11"/>
                <w:rFonts w:ascii="Times New Roman" w:hAnsi="Times New Roman" w:cs="Times New Roman"/>
                <w:sz w:val="22"/>
                <w:szCs w:val="22"/>
              </w:rPr>
              <w:t xml:space="preserve"> A</w:t>
            </w:r>
            <w:r w:rsidR="003E6473" w:rsidRPr="003E6473">
              <w:rPr>
                <w:rStyle w:val="cf11"/>
                <w:rFonts w:ascii="Times New Roman" w:hAnsi="Times New Roman" w:cs="Times New Roman"/>
                <w:sz w:val="22"/>
                <w:szCs w:val="22"/>
              </w:rPr>
              <w:t>ttiecīgi precizējot projekta iesnieguma vērtēšanas kritēriju piemērošanas metodik</w:t>
            </w:r>
            <w:r w:rsidR="003E6473">
              <w:rPr>
                <w:rStyle w:val="cf11"/>
                <w:rFonts w:ascii="Times New Roman" w:hAnsi="Times New Roman" w:cs="Times New Roman"/>
                <w:sz w:val="22"/>
                <w:szCs w:val="22"/>
              </w:rPr>
              <w:t>u.</w:t>
            </w:r>
          </w:p>
        </w:tc>
        <w:tc>
          <w:tcPr>
            <w:tcW w:w="2790" w:type="dxa"/>
          </w:tcPr>
          <w:p w14:paraId="21DC75AE" w14:textId="41BCA736" w:rsidR="00CC3F19" w:rsidRPr="00C47ADF" w:rsidRDefault="00E84342" w:rsidP="00CC3F19">
            <w:pPr>
              <w:pStyle w:val="Standard"/>
              <w:jc w:val="both"/>
              <w:rPr>
                <w:b/>
                <w:bCs/>
                <w:sz w:val="22"/>
              </w:rPr>
            </w:pPr>
            <w:r w:rsidRPr="00C47ADF">
              <w:rPr>
                <w:b/>
                <w:bCs/>
                <w:sz w:val="22"/>
              </w:rPr>
              <w:t>Skaidrojam.</w:t>
            </w:r>
            <w:r w:rsidR="008403C6" w:rsidRPr="00C47ADF">
              <w:rPr>
                <w:b/>
                <w:bCs/>
                <w:sz w:val="22"/>
              </w:rPr>
              <w:t xml:space="preserve"> </w:t>
            </w:r>
          </w:p>
          <w:p w14:paraId="6221C2AB" w14:textId="77777777" w:rsidR="00E84342" w:rsidRPr="00DD3987" w:rsidRDefault="00E84342" w:rsidP="00CC3F19">
            <w:pPr>
              <w:pStyle w:val="Standard"/>
              <w:jc w:val="both"/>
              <w:rPr>
                <w:sz w:val="22"/>
                <w:highlight w:val="yellow"/>
              </w:rPr>
            </w:pPr>
          </w:p>
          <w:p w14:paraId="57EC985C" w14:textId="0F008A68" w:rsidR="008403C6" w:rsidRPr="000054D9" w:rsidRDefault="2C7CFE3B" w:rsidP="1B367514">
            <w:pPr>
              <w:pStyle w:val="Standard"/>
              <w:jc w:val="both"/>
            </w:pPr>
            <w:r w:rsidRPr="1B367514">
              <w:rPr>
                <w:rFonts w:eastAsia="Times New Roman" w:cs="Times New Roman"/>
                <w:sz w:val="22"/>
              </w:rPr>
              <w:t xml:space="preserve">Skaidrojam, ka Starptautiskās kultūras pieminekļu un ievērojamu vietu padomes izstrādātie kvalitātes principi ir ietverti kritērijā par </w:t>
            </w:r>
            <w:r w:rsidRPr="1B367514">
              <w:rPr>
                <w:rFonts w:eastAsia="Times New Roman" w:cs="Times New Roman"/>
                <w:szCs w:val="24"/>
              </w:rPr>
              <w:t>Jaunā Eiropas “</w:t>
            </w:r>
            <w:proofErr w:type="spellStart"/>
            <w:r w:rsidRPr="1B367514">
              <w:rPr>
                <w:rFonts w:eastAsia="Times New Roman" w:cs="Times New Roman"/>
                <w:szCs w:val="24"/>
              </w:rPr>
              <w:t>Bauhaus</w:t>
            </w:r>
            <w:proofErr w:type="spellEnd"/>
            <w:r w:rsidRPr="1B367514">
              <w:rPr>
                <w:rFonts w:eastAsia="Times New Roman" w:cs="Times New Roman"/>
                <w:szCs w:val="24"/>
              </w:rPr>
              <w:t xml:space="preserve">” principiem, attiecīgi jauna kritērija definēšana </w:t>
            </w:r>
            <w:r w:rsidRPr="1B367514">
              <w:rPr>
                <w:rFonts w:eastAsia="Times New Roman" w:cs="Times New Roman"/>
                <w:sz w:val="22"/>
              </w:rPr>
              <w:t>dublētu jau esošu kritēriju</w:t>
            </w:r>
            <w:r w:rsidR="008C0760">
              <w:rPr>
                <w:rFonts w:eastAsia="Times New Roman" w:cs="Times New Roman"/>
                <w:sz w:val="22"/>
              </w:rPr>
              <w:t>.</w:t>
            </w:r>
          </w:p>
        </w:tc>
        <w:tc>
          <w:tcPr>
            <w:tcW w:w="2790" w:type="dxa"/>
          </w:tcPr>
          <w:p w14:paraId="2A9DDDCF" w14:textId="77777777" w:rsidR="00CC3F19" w:rsidRPr="000054D9" w:rsidRDefault="00CC3F19" w:rsidP="00CC3F19">
            <w:pPr>
              <w:pStyle w:val="Standard"/>
              <w:jc w:val="both"/>
              <w:rPr>
                <w:sz w:val="22"/>
              </w:rPr>
            </w:pPr>
          </w:p>
        </w:tc>
      </w:tr>
      <w:tr w:rsidR="00CC3F19" w:rsidRPr="000054D9" w14:paraId="6D4B6E25" w14:textId="77777777" w:rsidTr="6692F8A4">
        <w:tc>
          <w:tcPr>
            <w:tcW w:w="562" w:type="dxa"/>
          </w:tcPr>
          <w:p w14:paraId="44B426E0" w14:textId="77777777" w:rsidR="00CC3F19" w:rsidRPr="000054D9" w:rsidRDefault="00CC3F19" w:rsidP="00CC3F19">
            <w:pPr>
              <w:pStyle w:val="Standard"/>
              <w:numPr>
                <w:ilvl w:val="0"/>
                <w:numId w:val="13"/>
              </w:numPr>
              <w:ind w:hanging="1049"/>
              <w:jc w:val="center"/>
              <w:rPr>
                <w:rFonts w:cs="Times New Roman"/>
                <w:b/>
                <w:bCs/>
                <w:sz w:val="22"/>
              </w:rPr>
            </w:pPr>
          </w:p>
        </w:tc>
        <w:tc>
          <w:tcPr>
            <w:tcW w:w="3119" w:type="dxa"/>
            <w:vMerge w:val="restart"/>
          </w:tcPr>
          <w:p w14:paraId="4E442DC0" w14:textId="09CA050C" w:rsidR="00CC3F19" w:rsidRPr="000054D9" w:rsidRDefault="00CC3F19" w:rsidP="00CC3F19">
            <w:pPr>
              <w:pStyle w:val="Standard"/>
              <w:jc w:val="both"/>
              <w:rPr>
                <w:rFonts w:cs="Times New Roman"/>
                <w:b/>
                <w:bCs/>
                <w:sz w:val="22"/>
              </w:rPr>
            </w:pPr>
            <w:r>
              <w:rPr>
                <w:rFonts w:cs="Times New Roman"/>
                <w:b/>
                <w:bCs/>
                <w:sz w:val="22"/>
              </w:rPr>
              <w:t>K</w:t>
            </w:r>
            <w:r w:rsidRPr="00967E90">
              <w:rPr>
                <w:rFonts w:cs="Times New Roman"/>
                <w:b/>
                <w:bCs/>
                <w:sz w:val="22"/>
              </w:rPr>
              <w:t>valitātes kritēriji Nr.4.1. un 4.3</w:t>
            </w:r>
            <w:r>
              <w:rPr>
                <w:rFonts w:cs="Times New Roman"/>
                <w:b/>
                <w:bCs/>
                <w:sz w:val="22"/>
              </w:rPr>
              <w:t>.</w:t>
            </w:r>
          </w:p>
        </w:tc>
        <w:tc>
          <w:tcPr>
            <w:tcW w:w="4687" w:type="dxa"/>
          </w:tcPr>
          <w:p w14:paraId="56442FDC" w14:textId="4BB9D79E" w:rsidR="00CC3F19" w:rsidRDefault="00CC3F19" w:rsidP="00CC3F19">
            <w:pPr>
              <w:pStyle w:val="Standard"/>
              <w:jc w:val="both"/>
              <w:rPr>
                <w:rFonts w:cs="Times New Roman"/>
                <w:b/>
                <w:bCs/>
                <w:sz w:val="22"/>
              </w:rPr>
            </w:pPr>
            <w:r w:rsidRPr="00967E90">
              <w:rPr>
                <w:rFonts w:cs="Times New Roman"/>
                <w:b/>
                <w:bCs/>
                <w:sz w:val="22"/>
              </w:rPr>
              <w:t>Centrālā finanšu un līgumu aģentūra</w:t>
            </w:r>
          </w:p>
          <w:p w14:paraId="4558B574" w14:textId="77777777" w:rsidR="00CC3F19" w:rsidRDefault="00CC3F19" w:rsidP="1B367514">
            <w:pPr>
              <w:pStyle w:val="Standard"/>
              <w:jc w:val="both"/>
              <w:rPr>
                <w:rFonts w:cs="Times New Roman"/>
                <w:b/>
                <w:bCs/>
                <w:sz w:val="22"/>
              </w:rPr>
            </w:pPr>
          </w:p>
          <w:p w14:paraId="289BF871" w14:textId="0D928B6A" w:rsidR="00CC3F19" w:rsidRPr="000054D9" w:rsidRDefault="00CC3F19" w:rsidP="1B367514">
            <w:pPr>
              <w:pStyle w:val="Standard"/>
              <w:jc w:val="both"/>
              <w:rPr>
                <w:rFonts w:cs="Times New Roman"/>
                <w:sz w:val="22"/>
              </w:rPr>
            </w:pPr>
            <w:r w:rsidRPr="1B367514">
              <w:rPr>
                <w:rFonts w:cs="Times New Roman"/>
                <w:sz w:val="22"/>
              </w:rPr>
              <w:t xml:space="preserve">Aicinām </w:t>
            </w:r>
            <w:r w:rsidRPr="1B367514">
              <w:rPr>
                <w:rFonts w:cs="Times New Roman"/>
                <w:b/>
                <w:bCs/>
                <w:sz w:val="22"/>
              </w:rPr>
              <w:t>apvienot kritērijus 4.1. un 4.3</w:t>
            </w:r>
            <w:r w:rsidRPr="1B367514">
              <w:rPr>
                <w:rFonts w:cs="Times New Roman"/>
                <w:sz w:val="22"/>
              </w:rPr>
              <w:t xml:space="preserve">., </w:t>
            </w:r>
            <w:proofErr w:type="gramStart"/>
            <w:r w:rsidRPr="1B367514">
              <w:rPr>
                <w:rFonts w:cs="Times New Roman"/>
                <w:sz w:val="22"/>
              </w:rPr>
              <w:t>kas attiecas uz Organizācijas darbības stratēģiju</w:t>
            </w:r>
            <w:proofErr w:type="gramEnd"/>
            <w:r w:rsidRPr="1B367514">
              <w:rPr>
                <w:rFonts w:cs="Times New Roman"/>
                <w:sz w:val="22"/>
              </w:rPr>
              <w:t xml:space="preserve"> un </w:t>
            </w:r>
            <w:r w:rsidRPr="1B367514">
              <w:rPr>
                <w:rFonts w:cs="Times New Roman"/>
                <w:b/>
                <w:bCs/>
                <w:sz w:val="22"/>
              </w:rPr>
              <w:t>pārcelt uz specifisko atbilstības kritēriju kopu</w:t>
            </w:r>
            <w:r w:rsidRPr="1B367514">
              <w:rPr>
                <w:rFonts w:cs="Times New Roman"/>
                <w:sz w:val="22"/>
              </w:rPr>
              <w:t>, nosakot to kā priekšnosacījumu projektu iesniegumu iesniegšanai. Papildināt informāciju saskaņā ar MK noteikumu 28. punkta prasībām, par to, ka Organizācijas darbības stratēģijai vai, gadījumā ja</w:t>
            </w:r>
            <w:proofErr w:type="gramStart"/>
            <w:r w:rsidRPr="1B367514">
              <w:rPr>
                <w:rFonts w:cs="Times New Roman"/>
                <w:sz w:val="22"/>
              </w:rPr>
              <w:t xml:space="preserve">  </w:t>
            </w:r>
            <w:proofErr w:type="gramEnd"/>
            <w:r w:rsidRPr="1B367514">
              <w:rPr>
                <w:rFonts w:cs="Times New Roman"/>
                <w:sz w:val="22"/>
              </w:rPr>
              <w:t xml:space="preserve">iesniedzējs ir pašvaldība – teritorijas attīstības plānošanas dokumentam </w:t>
            </w:r>
            <w:r w:rsidRPr="1B367514">
              <w:rPr>
                <w:rFonts w:cs="Times New Roman"/>
                <w:b/>
                <w:bCs/>
                <w:sz w:val="22"/>
              </w:rPr>
              <w:t>ir jābūt apstiprinātam uz projekta iesniegšanas dienu</w:t>
            </w:r>
            <w:r w:rsidRPr="1B367514">
              <w:rPr>
                <w:rFonts w:cs="Times New Roman"/>
                <w:sz w:val="22"/>
              </w:rPr>
              <w:t xml:space="preserve">.  Kultūras organizāciju darbības stratēģiju atbilstības vērtēšana ir Kultūras ministrijas kompetence, tāpat kā pašvaldību teritorijas attīstības plānošanas dokumentu atbilstības noteikšana ir Vides aizsardzības un reģionālās attīstības ministrijas </w:t>
            </w:r>
            <w:r w:rsidRPr="1B367514">
              <w:rPr>
                <w:rFonts w:cs="Times New Roman"/>
                <w:sz w:val="22"/>
              </w:rPr>
              <w:lastRenderedPageBreak/>
              <w:t xml:space="preserve">kompetencē, attiecīgi aicinām kritērija atbilstības vērtēšanai </w:t>
            </w:r>
            <w:r w:rsidRPr="1B367514">
              <w:rPr>
                <w:rFonts w:cs="Times New Roman"/>
                <w:b/>
                <w:bCs/>
                <w:sz w:val="22"/>
              </w:rPr>
              <w:t xml:space="preserve">pieaicināt ekspertus no KM un VARAM. </w:t>
            </w:r>
            <w:r w:rsidRPr="1B367514">
              <w:rPr>
                <w:rFonts w:cs="Times New Roman"/>
                <w:sz w:val="22"/>
              </w:rPr>
              <w:t>Turklāt šāda kritēriju restrukturizācija ir nepieciešama</w:t>
            </w:r>
            <w:proofErr w:type="gramStart"/>
            <w:r w:rsidRPr="1B367514">
              <w:rPr>
                <w:rFonts w:cs="Times New Roman"/>
                <w:sz w:val="22"/>
              </w:rPr>
              <w:t xml:space="preserve"> balstoties uz pieredzi citu SAM ietvaros</w:t>
            </w:r>
            <w:proofErr w:type="gramEnd"/>
            <w:r w:rsidRPr="1B367514">
              <w:rPr>
                <w:rFonts w:cs="Times New Roman"/>
                <w:sz w:val="22"/>
              </w:rPr>
              <w:t xml:space="preserve">, piem., SAM 5.1.1.3. un 5.1.1.5., lai nodrošinātu, ka projekta ietvaros plānotais jau </w:t>
            </w:r>
            <w:proofErr w:type="spellStart"/>
            <w:r w:rsidRPr="1B367514">
              <w:rPr>
                <w:rFonts w:cs="Times New Roman"/>
                <w:sz w:val="22"/>
              </w:rPr>
              <w:t>proaktīvi</w:t>
            </w:r>
            <w:proofErr w:type="spellEnd"/>
            <w:r w:rsidRPr="1B367514">
              <w:rPr>
                <w:rFonts w:cs="Times New Roman"/>
                <w:sz w:val="22"/>
              </w:rPr>
              <w:t xml:space="preserve"> ir sakārtots un nostiprināts horizontāli.</w:t>
            </w:r>
          </w:p>
        </w:tc>
        <w:tc>
          <w:tcPr>
            <w:tcW w:w="2790" w:type="dxa"/>
          </w:tcPr>
          <w:p w14:paraId="1D6CBB10" w14:textId="384462AB" w:rsidR="00CC3F19" w:rsidRDefault="00DD3987" w:rsidP="00CC3F19">
            <w:pPr>
              <w:pStyle w:val="Standard"/>
              <w:jc w:val="both"/>
              <w:rPr>
                <w:rFonts w:cs="Times New Roman"/>
                <w:b/>
                <w:bCs/>
                <w:sz w:val="22"/>
              </w:rPr>
            </w:pPr>
            <w:r>
              <w:rPr>
                <w:rFonts w:cs="Times New Roman"/>
                <w:b/>
                <w:bCs/>
                <w:sz w:val="22"/>
              </w:rPr>
              <w:lastRenderedPageBreak/>
              <w:t>Ņemts vērā un skaidrots.</w:t>
            </w:r>
          </w:p>
          <w:p w14:paraId="170D5EA3" w14:textId="77777777" w:rsidR="00E84342" w:rsidRDefault="00E84342" w:rsidP="00CC3F19">
            <w:pPr>
              <w:pStyle w:val="Standard"/>
              <w:jc w:val="both"/>
              <w:rPr>
                <w:rFonts w:cs="Times New Roman"/>
                <w:b/>
                <w:bCs/>
                <w:sz w:val="22"/>
              </w:rPr>
            </w:pPr>
          </w:p>
          <w:p w14:paraId="182EFDC6" w14:textId="29C7746B" w:rsidR="00E84342" w:rsidRDefault="00256DF3" w:rsidP="1B367514">
            <w:pPr>
              <w:pStyle w:val="Standard"/>
              <w:jc w:val="both"/>
              <w:rPr>
                <w:rFonts w:cs="Times New Roman"/>
                <w:sz w:val="22"/>
              </w:rPr>
            </w:pPr>
            <w:r>
              <w:rPr>
                <w:rFonts w:cs="Times New Roman"/>
                <w:sz w:val="22"/>
              </w:rPr>
              <w:t>Kritēriji pārskatīti.</w:t>
            </w:r>
          </w:p>
          <w:p w14:paraId="37E345F1" w14:textId="77777777" w:rsidR="00DD3987" w:rsidRDefault="00DD3987" w:rsidP="00CC3F19">
            <w:pPr>
              <w:pStyle w:val="Standard"/>
              <w:jc w:val="both"/>
              <w:rPr>
                <w:rFonts w:cs="Times New Roman"/>
                <w:sz w:val="22"/>
              </w:rPr>
            </w:pPr>
          </w:p>
          <w:p w14:paraId="4FF6AD5A" w14:textId="0833500F" w:rsidR="00DD3987" w:rsidRPr="00DD3987" w:rsidRDefault="00DD3987" w:rsidP="00DD3987">
            <w:pPr>
              <w:jc w:val="both"/>
              <w:rPr>
                <w:rFonts w:eastAsia="Calibri" w:cs="Times New Roman"/>
                <w:sz w:val="22"/>
              </w:rPr>
            </w:pPr>
            <w:r>
              <w:rPr>
                <w:rFonts w:cs="Times New Roman"/>
                <w:sz w:val="22"/>
              </w:rPr>
              <w:t>Papildināts ar specifisko atbilstības kritēriju:</w:t>
            </w:r>
            <w:r w:rsidR="00D217AD">
              <w:rPr>
                <w:rFonts w:cs="Times New Roman"/>
                <w:sz w:val="22"/>
              </w:rPr>
              <w:t xml:space="preserve"> </w:t>
            </w:r>
            <w:r>
              <w:rPr>
                <w:rFonts w:eastAsia="Calibri" w:cs="Times New Roman"/>
                <w:sz w:val="22"/>
              </w:rPr>
              <w:t>“</w:t>
            </w:r>
            <w:r w:rsidRPr="00DD3987">
              <w:rPr>
                <w:rFonts w:eastAsia="Calibri" w:cs="Times New Roman"/>
                <w:sz w:val="22"/>
              </w:rPr>
              <w:t xml:space="preserve">Projekta iesniedzējam uz projekta iesniegšanas dienu ir apstiprināta organizācijas darbības stratēģija (ja iesniedzējs ir pašvaldība – teritorijas attīstības plānošanas dokuments), kurā noteikti vidēja termiņa darbības mērķi, kas liecina par sabiedrības ieguvumiem no projektā attīstītajiem </w:t>
            </w:r>
            <w:r w:rsidRPr="00DD3987">
              <w:rPr>
                <w:rFonts w:eastAsia="Calibri" w:cs="Times New Roman"/>
                <w:sz w:val="22"/>
              </w:rPr>
              <w:lastRenderedPageBreak/>
              <w:t>pakalpojumiem, paredz veicināt kultūras pakalpojumu pieejamību, tostarp attīstot pakalpojumus vismaz divām dažādām sociāli mazaizsargāto iedzīvotāju grupām.</w:t>
            </w:r>
            <w:r>
              <w:rPr>
                <w:rFonts w:eastAsia="Calibri" w:cs="Times New Roman"/>
                <w:sz w:val="22"/>
              </w:rPr>
              <w:t>”</w:t>
            </w:r>
          </w:p>
          <w:p w14:paraId="12257AB6" w14:textId="45653022" w:rsidR="00DD3987" w:rsidRDefault="00DD3987" w:rsidP="00CC3F19">
            <w:pPr>
              <w:pStyle w:val="Standard"/>
              <w:jc w:val="both"/>
              <w:rPr>
                <w:rFonts w:cs="Times New Roman"/>
                <w:sz w:val="22"/>
              </w:rPr>
            </w:pPr>
          </w:p>
          <w:p w14:paraId="583D7678" w14:textId="77777777" w:rsidR="00DD3987" w:rsidRDefault="00DD3987" w:rsidP="00CC3F19">
            <w:pPr>
              <w:pStyle w:val="Standard"/>
              <w:jc w:val="both"/>
              <w:rPr>
                <w:rFonts w:cs="Times New Roman"/>
                <w:sz w:val="22"/>
              </w:rPr>
            </w:pPr>
          </w:p>
          <w:p w14:paraId="1B4D84B9" w14:textId="77777777" w:rsidR="00DD3987" w:rsidRDefault="00DD3987" w:rsidP="00CC3F19">
            <w:pPr>
              <w:pStyle w:val="Standard"/>
              <w:jc w:val="both"/>
              <w:rPr>
                <w:rFonts w:cs="Times New Roman"/>
                <w:sz w:val="22"/>
              </w:rPr>
            </w:pPr>
            <w:r>
              <w:rPr>
                <w:rFonts w:cs="Times New Roman"/>
                <w:sz w:val="22"/>
              </w:rPr>
              <w:t>Papildināts, nosakot, ka vērtēšanas komisijas ietvaros atzinumu par stratēģiju sniedz KM pārstāvis.</w:t>
            </w:r>
          </w:p>
          <w:p w14:paraId="2364DAC0" w14:textId="77777777" w:rsidR="00DD3987" w:rsidRDefault="00DD3987" w:rsidP="00CC3F19">
            <w:pPr>
              <w:pStyle w:val="Standard"/>
              <w:jc w:val="both"/>
              <w:rPr>
                <w:rFonts w:cs="Times New Roman"/>
                <w:sz w:val="22"/>
              </w:rPr>
            </w:pPr>
          </w:p>
          <w:p w14:paraId="0296CACA" w14:textId="6CB323E0" w:rsidR="00DD3987" w:rsidRPr="00E84342" w:rsidRDefault="00DD3987" w:rsidP="00CC3F19">
            <w:pPr>
              <w:pStyle w:val="Standard"/>
              <w:jc w:val="both"/>
              <w:rPr>
                <w:rFonts w:cs="Times New Roman"/>
                <w:sz w:val="22"/>
              </w:rPr>
            </w:pPr>
          </w:p>
        </w:tc>
        <w:tc>
          <w:tcPr>
            <w:tcW w:w="2790" w:type="dxa"/>
          </w:tcPr>
          <w:p w14:paraId="6DEE62A6" w14:textId="77777777" w:rsidR="00CC3F19" w:rsidRPr="000054D9" w:rsidRDefault="00CC3F19" w:rsidP="00CC3F19">
            <w:pPr>
              <w:pStyle w:val="Standard"/>
              <w:jc w:val="both"/>
              <w:rPr>
                <w:rFonts w:cs="Times New Roman"/>
                <w:sz w:val="22"/>
              </w:rPr>
            </w:pPr>
          </w:p>
        </w:tc>
      </w:tr>
      <w:tr w:rsidR="00CC3F19" w:rsidRPr="000054D9" w14:paraId="75001870" w14:textId="77777777" w:rsidTr="6692F8A4">
        <w:tc>
          <w:tcPr>
            <w:tcW w:w="562" w:type="dxa"/>
          </w:tcPr>
          <w:p w14:paraId="01CD6B52" w14:textId="77777777" w:rsidR="00CC3F19" w:rsidRPr="000054D9" w:rsidRDefault="00CC3F19" w:rsidP="00CC3F19">
            <w:pPr>
              <w:pStyle w:val="Standard"/>
              <w:numPr>
                <w:ilvl w:val="0"/>
                <w:numId w:val="13"/>
              </w:numPr>
              <w:ind w:hanging="1049"/>
              <w:jc w:val="center"/>
              <w:rPr>
                <w:rFonts w:cs="Times New Roman"/>
                <w:b/>
                <w:bCs/>
                <w:sz w:val="22"/>
              </w:rPr>
            </w:pPr>
          </w:p>
        </w:tc>
        <w:tc>
          <w:tcPr>
            <w:tcW w:w="3119" w:type="dxa"/>
            <w:vMerge/>
          </w:tcPr>
          <w:p w14:paraId="409ACF3A" w14:textId="77777777" w:rsidR="00CC3F19" w:rsidRPr="000054D9" w:rsidRDefault="00CC3F19" w:rsidP="00CC3F19">
            <w:pPr>
              <w:pStyle w:val="Standard"/>
              <w:jc w:val="both"/>
              <w:rPr>
                <w:rFonts w:cs="Times New Roman"/>
                <w:b/>
                <w:bCs/>
                <w:sz w:val="22"/>
              </w:rPr>
            </w:pPr>
          </w:p>
        </w:tc>
        <w:tc>
          <w:tcPr>
            <w:tcW w:w="4687" w:type="dxa"/>
          </w:tcPr>
          <w:p w14:paraId="00BA791F" w14:textId="77777777" w:rsidR="00CC3F19" w:rsidRPr="00967E90" w:rsidRDefault="00CC3F19" w:rsidP="22CBFB20">
            <w:pPr>
              <w:pStyle w:val="Standard"/>
              <w:jc w:val="both"/>
              <w:rPr>
                <w:rFonts w:cs="Times New Roman"/>
                <w:b/>
                <w:bCs/>
                <w:sz w:val="22"/>
              </w:rPr>
            </w:pPr>
            <w:r w:rsidRPr="22CBFB20">
              <w:rPr>
                <w:rFonts w:cs="Times New Roman"/>
                <w:b/>
                <w:bCs/>
                <w:sz w:val="22"/>
              </w:rPr>
              <w:t>Centrālā finanšu un līgumu aģentūra</w:t>
            </w:r>
          </w:p>
          <w:p w14:paraId="0CC54247" w14:textId="77777777" w:rsidR="00CC3F19" w:rsidRDefault="00CC3F19" w:rsidP="00CC3F19">
            <w:pPr>
              <w:pStyle w:val="Standard"/>
              <w:jc w:val="both"/>
              <w:rPr>
                <w:rFonts w:cs="Times New Roman"/>
                <w:sz w:val="22"/>
              </w:rPr>
            </w:pPr>
          </w:p>
          <w:p w14:paraId="0E0CC4E2" w14:textId="606B6390" w:rsidR="00CC3F19" w:rsidRPr="000054D9" w:rsidRDefault="00CC3F19" w:rsidP="00CC3F19">
            <w:pPr>
              <w:pStyle w:val="Standard"/>
              <w:jc w:val="both"/>
              <w:rPr>
                <w:rFonts w:cs="Times New Roman"/>
                <w:sz w:val="22"/>
              </w:rPr>
            </w:pPr>
            <w:r w:rsidRPr="00967E90">
              <w:rPr>
                <w:rFonts w:cs="Times New Roman"/>
                <w:sz w:val="22"/>
              </w:rPr>
              <w:t xml:space="preserve">Aicinām papildināt kvalitātes kritēriju kopu ar kritēriju, kurš būtu izmantojams kā </w:t>
            </w:r>
            <w:r w:rsidRPr="003B3E6F">
              <w:rPr>
                <w:rFonts w:cs="Times New Roman"/>
                <w:b/>
                <w:bCs/>
                <w:sz w:val="22"/>
              </w:rPr>
              <w:t>“ranžēšanas rīks</w:t>
            </w:r>
            <w:r w:rsidRPr="00967E90">
              <w:rPr>
                <w:rFonts w:cs="Times New Roman"/>
                <w:sz w:val="22"/>
              </w:rPr>
              <w:t>” konkurētspējīgāko, kvalit</w:t>
            </w:r>
            <w:r>
              <w:rPr>
                <w:rFonts w:cs="Times New Roman"/>
                <w:sz w:val="22"/>
              </w:rPr>
              <w:t>a</w:t>
            </w:r>
            <w:r w:rsidRPr="00967E90">
              <w:rPr>
                <w:rFonts w:cs="Times New Roman"/>
                <w:sz w:val="22"/>
              </w:rPr>
              <w:t xml:space="preserve">tīvāko projektu prioritizēšanai, piem., kura ietvaros tiek vērtēta </w:t>
            </w:r>
            <w:r w:rsidRPr="003B3E6F">
              <w:rPr>
                <w:rFonts w:cs="Times New Roman"/>
                <w:b/>
                <w:bCs/>
                <w:sz w:val="22"/>
              </w:rPr>
              <w:t>projekta gatavības kvalitāte</w:t>
            </w:r>
            <w:r w:rsidRPr="00967E90">
              <w:rPr>
                <w:rFonts w:cs="Times New Roman"/>
                <w:sz w:val="22"/>
              </w:rPr>
              <w:t>,</w:t>
            </w:r>
            <w:proofErr w:type="gramStart"/>
            <w:r w:rsidRPr="00967E90">
              <w:rPr>
                <w:rFonts w:cs="Times New Roman"/>
                <w:sz w:val="22"/>
              </w:rPr>
              <w:t xml:space="preserve">  </w:t>
            </w:r>
            <w:proofErr w:type="gramEnd"/>
            <w:r w:rsidRPr="00967E90">
              <w:rPr>
                <w:rFonts w:cs="Times New Roman"/>
                <w:sz w:val="22"/>
              </w:rPr>
              <w:t>kas iekļauj īstenošanas vai finansiālās ietilpības rādītāju aprēķinu. Šāda kritērija pievienošana nepieciešama atklātas projektu iesniegumu atlases gadījumā nodrošinot projektu ranžēšanu gadījumā, ja projektu iesniegumi saņem vienādu punktu skaitu. Šobrīd vērtēšanas kritēriju komplektā nav šāda veida kritērija.</w:t>
            </w:r>
          </w:p>
        </w:tc>
        <w:tc>
          <w:tcPr>
            <w:tcW w:w="2790" w:type="dxa"/>
          </w:tcPr>
          <w:p w14:paraId="4FD247C6" w14:textId="7B116262" w:rsidR="00CC3F19" w:rsidRPr="000054D9" w:rsidRDefault="53FFEAB0" w:rsidP="22CBFB20">
            <w:pPr>
              <w:pStyle w:val="Standard"/>
              <w:jc w:val="both"/>
              <w:rPr>
                <w:rFonts w:cs="Times New Roman"/>
                <w:b/>
                <w:bCs/>
                <w:sz w:val="22"/>
              </w:rPr>
            </w:pPr>
            <w:r w:rsidRPr="22CBFB20">
              <w:rPr>
                <w:rFonts w:cs="Times New Roman"/>
                <w:b/>
                <w:bCs/>
                <w:sz w:val="22"/>
              </w:rPr>
              <w:t>Skaidrojam</w:t>
            </w:r>
          </w:p>
          <w:p w14:paraId="03538E09" w14:textId="3876D16B" w:rsidR="00CC3F19" w:rsidRPr="000054D9" w:rsidRDefault="00CC3F19" w:rsidP="23854EF8">
            <w:pPr>
              <w:pStyle w:val="Standard"/>
              <w:jc w:val="both"/>
              <w:rPr>
                <w:rFonts w:cs="Times New Roman"/>
                <w:sz w:val="22"/>
              </w:rPr>
            </w:pPr>
          </w:p>
          <w:p w14:paraId="26C95257" w14:textId="63E017A4" w:rsidR="00CC3F19" w:rsidRPr="000054D9" w:rsidRDefault="53FFEAB0" w:rsidP="22CBFB20">
            <w:pPr>
              <w:jc w:val="both"/>
              <w:rPr>
                <w:rFonts w:eastAsia="Times New Roman" w:cs="Times New Roman"/>
                <w:sz w:val="22"/>
              </w:rPr>
            </w:pPr>
            <w:r w:rsidRPr="22CBFB20">
              <w:rPr>
                <w:rFonts w:eastAsia="Times New Roman" w:cs="Times New Roman"/>
                <w:sz w:val="22"/>
              </w:rPr>
              <w:t>Skaidrojam, ka kultūras satura projektu gadījumā projekta gatavības pakāpe, finansiālā ietilpība vai rādītāju aprēķins kvalitatīvi nepa</w:t>
            </w:r>
            <w:r w:rsidR="2D6FF907" w:rsidRPr="22CBFB20">
              <w:rPr>
                <w:rFonts w:eastAsia="Times New Roman" w:cs="Times New Roman"/>
                <w:sz w:val="22"/>
              </w:rPr>
              <w:t>rāda projektu ar lielāko efektu</w:t>
            </w:r>
            <w:r w:rsidR="7A970CB7" w:rsidRPr="22CBFB20">
              <w:rPr>
                <w:rFonts w:eastAsia="Times New Roman" w:cs="Times New Roman"/>
                <w:sz w:val="22"/>
              </w:rPr>
              <w:t xml:space="preserve"> mērķa grupas vajadzībās balstīta kultūras piedāvājuma veidošanā.</w:t>
            </w:r>
          </w:p>
          <w:p w14:paraId="3D3664C8" w14:textId="69BB868C" w:rsidR="7A970CB7" w:rsidRPr="00C47ADF" w:rsidRDefault="7A970CB7" w:rsidP="22CBFB20">
            <w:pPr>
              <w:jc w:val="both"/>
              <w:rPr>
                <w:rFonts w:eastAsia="Times New Roman" w:cs="Times New Roman"/>
                <w:sz w:val="22"/>
              </w:rPr>
            </w:pPr>
            <w:r w:rsidRPr="6692F8A4">
              <w:rPr>
                <w:rFonts w:eastAsia="Times New Roman" w:cs="Times New Roman"/>
                <w:sz w:val="22"/>
              </w:rPr>
              <w:t xml:space="preserve">Piedāvājam, turpinot darbu pie Ministru kabineta noteikumu izstrādes noteikt prioritāros </w:t>
            </w:r>
            <w:r w:rsidRPr="00C47ADF">
              <w:rPr>
                <w:rFonts w:eastAsia="Times New Roman" w:cs="Times New Roman"/>
                <w:sz w:val="22"/>
              </w:rPr>
              <w:t xml:space="preserve">kritērijus - 4.1. un </w:t>
            </w:r>
            <w:r w:rsidR="3BF7390A" w:rsidRPr="00C47ADF">
              <w:rPr>
                <w:rFonts w:eastAsia="Times New Roman" w:cs="Times New Roman"/>
                <w:sz w:val="22"/>
              </w:rPr>
              <w:t>4.3.</w:t>
            </w:r>
          </w:p>
          <w:p w14:paraId="1AE9D04B" w14:textId="17D41F29" w:rsidR="00CC3F19" w:rsidRPr="000054D9" w:rsidRDefault="00CC3F19" w:rsidP="22CBFB20">
            <w:pPr>
              <w:pStyle w:val="Standard"/>
              <w:jc w:val="both"/>
              <w:rPr>
                <w:rFonts w:eastAsia="Times New Roman" w:cs="Times New Roman"/>
                <w:sz w:val="22"/>
                <w:highlight w:val="yellow"/>
              </w:rPr>
            </w:pPr>
          </w:p>
        </w:tc>
        <w:tc>
          <w:tcPr>
            <w:tcW w:w="2790" w:type="dxa"/>
          </w:tcPr>
          <w:p w14:paraId="16E89DF2" w14:textId="77777777" w:rsidR="00CC3F19" w:rsidRPr="000054D9" w:rsidRDefault="00CC3F19" w:rsidP="00CC3F19">
            <w:pPr>
              <w:pStyle w:val="Standard"/>
              <w:jc w:val="both"/>
              <w:rPr>
                <w:rFonts w:cs="Times New Roman"/>
                <w:sz w:val="22"/>
              </w:rPr>
            </w:pPr>
          </w:p>
        </w:tc>
      </w:tr>
      <w:tr w:rsidR="00CC3F19" w:rsidRPr="000054D9" w14:paraId="3D0E5CA3" w14:textId="77777777" w:rsidTr="6692F8A4">
        <w:tc>
          <w:tcPr>
            <w:tcW w:w="562" w:type="dxa"/>
          </w:tcPr>
          <w:p w14:paraId="10178074" w14:textId="77777777" w:rsidR="00CC3F19" w:rsidRPr="000054D9" w:rsidRDefault="00CC3F19" w:rsidP="00CC3F19">
            <w:pPr>
              <w:pStyle w:val="Standard"/>
              <w:numPr>
                <w:ilvl w:val="0"/>
                <w:numId w:val="13"/>
              </w:numPr>
              <w:ind w:hanging="1049"/>
              <w:jc w:val="center"/>
              <w:rPr>
                <w:b/>
                <w:bCs/>
                <w:sz w:val="22"/>
              </w:rPr>
            </w:pPr>
          </w:p>
        </w:tc>
        <w:tc>
          <w:tcPr>
            <w:tcW w:w="3119" w:type="dxa"/>
          </w:tcPr>
          <w:p w14:paraId="70A79CBB" w14:textId="15F66511" w:rsidR="00CC3F19" w:rsidRPr="00367029" w:rsidRDefault="00CC3F19" w:rsidP="00CC3F19">
            <w:pPr>
              <w:pStyle w:val="Standard"/>
              <w:jc w:val="both"/>
              <w:rPr>
                <w:b/>
                <w:bCs/>
                <w:sz w:val="22"/>
              </w:rPr>
            </w:pPr>
            <w:r w:rsidRPr="00754A0E">
              <w:rPr>
                <w:rFonts w:cs="Times New Roman"/>
                <w:b/>
                <w:bCs/>
                <w:sz w:val="22"/>
              </w:rPr>
              <w:t>Specifiskie atbilstības kritēriji</w:t>
            </w:r>
          </w:p>
        </w:tc>
        <w:tc>
          <w:tcPr>
            <w:tcW w:w="4687" w:type="dxa"/>
          </w:tcPr>
          <w:p w14:paraId="7AE61A46" w14:textId="77777777" w:rsidR="00CC3F19" w:rsidRDefault="00CC3F19" w:rsidP="00CC3F19">
            <w:pPr>
              <w:pStyle w:val="Standard"/>
              <w:jc w:val="both"/>
              <w:rPr>
                <w:rStyle w:val="cf11"/>
                <w:rFonts w:ascii="Times New Roman" w:hAnsi="Times New Roman" w:cs="Times New Roman"/>
                <w:b/>
                <w:bCs/>
                <w:sz w:val="22"/>
              </w:rPr>
            </w:pPr>
            <w:r>
              <w:rPr>
                <w:rStyle w:val="cf11"/>
                <w:rFonts w:ascii="Times New Roman" w:hAnsi="Times New Roman" w:cs="Times New Roman"/>
                <w:b/>
                <w:bCs/>
                <w:sz w:val="22"/>
              </w:rPr>
              <w:t>Finanšu ministrija</w:t>
            </w:r>
          </w:p>
          <w:p w14:paraId="57E56F44" w14:textId="77777777" w:rsidR="00CC3F19" w:rsidRDefault="00CC3F19" w:rsidP="00CC3F19">
            <w:pPr>
              <w:pStyle w:val="Standard"/>
              <w:jc w:val="both"/>
              <w:rPr>
                <w:rStyle w:val="cf11"/>
                <w:rFonts w:ascii="Times New Roman" w:hAnsi="Times New Roman" w:cs="Times New Roman"/>
                <w:b/>
                <w:bCs/>
                <w:sz w:val="22"/>
              </w:rPr>
            </w:pPr>
          </w:p>
          <w:p w14:paraId="6934B3C8" w14:textId="4C720773" w:rsidR="00CC3F19" w:rsidRPr="00367029" w:rsidRDefault="00754A0E" w:rsidP="00F651BC">
            <w:pPr>
              <w:pStyle w:val="Standard"/>
              <w:jc w:val="both"/>
              <w:rPr>
                <w:rStyle w:val="cf11"/>
                <w:rFonts w:ascii="Times New Roman" w:hAnsi="Times New Roman" w:cs="Times New Roman"/>
                <w:sz w:val="22"/>
              </w:rPr>
            </w:pPr>
            <w:r>
              <w:rPr>
                <w:rStyle w:val="cf11"/>
                <w:rFonts w:ascii="Times New Roman" w:hAnsi="Times New Roman" w:cs="Times New Roman"/>
                <w:sz w:val="22"/>
              </w:rPr>
              <w:t>L</w:t>
            </w:r>
            <w:r>
              <w:rPr>
                <w:rStyle w:val="cf11"/>
              </w:rPr>
              <w:t>ūdzam</w:t>
            </w:r>
            <w:r w:rsidR="00CC3F19" w:rsidRPr="00367029">
              <w:rPr>
                <w:rStyle w:val="cf11"/>
                <w:rFonts w:ascii="Times New Roman" w:hAnsi="Times New Roman" w:cs="Times New Roman"/>
                <w:sz w:val="22"/>
              </w:rPr>
              <w:t xml:space="preserve"> papildināt kritērijus ar specifisko atbilstības kritēriju, kas paredz darbības</w:t>
            </w:r>
            <w:r w:rsidR="00CC3F19" w:rsidRPr="00E0003B">
              <w:rPr>
                <w:rStyle w:val="cf11"/>
                <w:rFonts w:ascii="Times New Roman" w:hAnsi="Times New Roman" w:cs="Times New Roman"/>
                <w:sz w:val="22"/>
              </w:rPr>
              <w:t>, kas veicina principa “Nenodarīt būtisku kaitējumu” ievērošanu</w:t>
            </w:r>
            <w:r w:rsidR="00CC3F19" w:rsidRPr="00367029">
              <w:rPr>
                <w:rStyle w:val="cf11"/>
                <w:rFonts w:ascii="Times New Roman" w:hAnsi="Times New Roman" w:cs="Times New Roman"/>
                <w:sz w:val="22"/>
              </w:rPr>
              <w:t>,</w:t>
            </w:r>
            <w:proofErr w:type="gramStart"/>
            <w:r w:rsidR="00CC3F19" w:rsidRPr="00367029">
              <w:rPr>
                <w:rStyle w:val="cf11"/>
                <w:rFonts w:ascii="Times New Roman" w:hAnsi="Times New Roman" w:cs="Times New Roman"/>
                <w:sz w:val="22"/>
              </w:rPr>
              <w:t xml:space="preserve"> </w:t>
            </w:r>
            <w:r w:rsidR="00CC3F19">
              <w:rPr>
                <w:rStyle w:val="cf11"/>
                <w:rFonts w:ascii="Times New Roman" w:hAnsi="Times New Roman" w:cs="Times New Roman"/>
                <w:sz w:val="22"/>
              </w:rPr>
              <w:t xml:space="preserve"> </w:t>
            </w:r>
            <w:proofErr w:type="gramEnd"/>
            <w:r w:rsidR="00CC3F19">
              <w:rPr>
                <w:rStyle w:val="cf11"/>
                <w:rFonts w:ascii="Times New Roman" w:hAnsi="Times New Roman" w:cs="Times New Roman"/>
                <w:sz w:val="22"/>
              </w:rPr>
              <w:t>piemēram,</w:t>
            </w:r>
            <w:r w:rsidR="00CC3F19">
              <w:t xml:space="preserve"> </w:t>
            </w:r>
            <w:r w:rsidR="00CC3F19" w:rsidRPr="00367029">
              <w:rPr>
                <w:rStyle w:val="cf11"/>
                <w:rFonts w:ascii="Times New Roman" w:hAnsi="Times New Roman" w:cs="Times New Roman"/>
                <w:sz w:val="22"/>
              </w:rPr>
              <w:t xml:space="preserve">Zaļā publiskā iepirkuma  </w:t>
            </w:r>
            <w:r w:rsidR="00CC3F19" w:rsidRPr="00367029">
              <w:rPr>
                <w:rStyle w:val="cf11"/>
                <w:rFonts w:ascii="Times New Roman" w:hAnsi="Times New Roman" w:cs="Times New Roman"/>
                <w:sz w:val="22"/>
              </w:rPr>
              <w:lastRenderedPageBreak/>
              <w:t>piemērošanu</w:t>
            </w:r>
            <w:r w:rsidR="00165246">
              <w:rPr>
                <w:rStyle w:val="cf11"/>
                <w:rFonts w:ascii="Times New Roman" w:hAnsi="Times New Roman" w:cs="Times New Roman"/>
                <w:sz w:val="22"/>
              </w:rPr>
              <w:t>,</w:t>
            </w:r>
            <w:r w:rsidR="00CC3F19" w:rsidRPr="00367029">
              <w:rPr>
                <w:rStyle w:val="cf11"/>
                <w:rFonts w:ascii="Times New Roman" w:hAnsi="Times New Roman" w:cs="Times New Roman"/>
                <w:sz w:val="22"/>
              </w:rPr>
              <w:t xml:space="preserve"> </w:t>
            </w:r>
            <w:r w:rsidR="00CC3F19">
              <w:rPr>
                <w:rStyle w:val="cf11"/>
                <w:rFonts w:ascii="Times New Roman" w:hAnsi="Times New Roman" w:cs="Times New Roman"/>
                <w:sz w:val="22"/>
              </w:rPr>
              <w:t>veicot iepirkumu procedūru būvniecības darbiem, ņemot vērā KM veikto novērtējumu (skat. p</w:t>
            </w:r>
            <w:r w:rsidR="00CC3F19" w:rsidRPr="00367029">
              <w:rPr>
                <w:rStyle w:val="cf11"/>
                <w:rFonts w:ascii="Times New Roman" w:hAnsi="Times New Roman" w:cs="Times New Roman"/>
                <w:sz w:val="22"/>
              </w:rPr>
              <w:t>rincipa “Nenodarīt būtisku kaitējumu” novērtējum</w:t>
            </w:r>
            <w:r w:rsidR="00CC3F19">
              <w:rPr>
                <w:rStyle w:val="cf11"/>
                <w:rFonts w:ascii="Times New Roman" w:hAnsi="Times New Roman" w:cs="Times New Roman"/>
                <w:sz w:val="22"/>
              </w:rPr>
              <w:t>u</w:t>
            </w:r>
            <w:r w:rsidR="00F651BC">
              <w:rPr>
                <w:rStyle w:val="cf11"/>
                <w:rFonts w:ascii="Times New Roman" w:hAnsi="Times New Roman" w:cs="Times New Roman"/>
                <w:sz w:val="22"/>
              </w:rPr>
              <w:t xml:space="preserve"> </w:t>
            </w:r>
            <w:r w:rsidR="00CC3F19" w:rsidRPr="00367029">
              <w:rPr>
                <w:rStyle w:val="cf11"/>
                <w:rFonts w:ascii="Times New Roman" w:hAnsi="Times New Roman" w:cs="Times New Roman"/>
                <w:sz w:val="22"/>
              </w:rPr>
              <w:t>4.3.2. SAM “Kultūras un tūrisma lomas palielināšana ekonomiskajā attīstībā, sociālajā iekļaušanā un sociālajās inovācijās”</w:t>
            </w:r>
            <w:r w:rsidR="00CC3F19">
              <w:rPr>
                <w:rStyle w:val="cf11"/>
                <w:rFonts w:ascii="Times New Roman" w:hAnsi="Times New Roman" w:cs="Times New Roman"/>
                <w:sz w:val="22"/>
              </w:rPr>
              <w:t>).</w:t>
            </w:r>
            <w:r w:rsidR="00046600">
              <w:rPr>
                <w:rStyle w:val="cf11"/>
                <w:rFonts w:ascii="Times New Roman" w:hAnsi="Times New Roman" w:cs="Times New Roman"/>
                <w:sz w:val="22"/>
              </w:rPr>
              <w:t xml:space="preserve"> </w:t>
            </w:r>
            <w:r w:rsidR="00046600" w:rsidRPr="00046600">
              <w:rPr>
                <w:rStyle w:val="cf11"/>
                <w:rFonts w:ascii="Times New Roman" w:hAnsi="Times New Roman" w:cs="Times New Roman"/>
                <w:sz w:val="22"/>
              </w:rPr>
              <w:t>Attiecīgi precizējot projekta iesnieguma vērtēšanas kritēriju piemērošanas metodiku.</w:t>
            </w:r>
          </w:p>
        </w:tc>
        <w:tc>
          <w:tcPr>
            <w:tcW w:w="2790" w:type="dxa"/>
          </w:tcPr>
          <w:p w14:paraId="74E819C7" w14:textId="77777777" w:rsidR="00CC3F19" w:rsidRDefault="00AA7DB5" w:rsidP="00CC3F19">
            <w:pPr>
              <w:pStyle w:val="Standard"/>
              <w:jc w:val="both"/>
              <w:rPr>
                <w:b/>
                <w:bCs/>
                <w:sz w:val="22"/>
              </w:rPr>
            </w:pPr>
            <w:r w:rsidRPr="00AA7DB5">
              <w:rPr>
                <w:b/>
                <w:bCs/>
                <w:sz w:val="22"/>
              </w:rPr>
              <w:lastRenderedPageBreak/>
              <w:t>Ņemts vērā</w:t>
            </w:r>
          </w:p>
          <w:p w14:paraId="21E3B55E" w14:textId="77777777" w:rsidR="00AA7DB5" w:rsidRDefault="00AA7DB5" w:rsidP="00CC3F19">
            <w:pPr>
              <w:pStyle w:val="Standard"/>
              <w:jc w:val="both"/>
              <w:rPr>
                <w:b/>
                <w:bCs/>
                <w:sz w:val="22"/>
              </w:rPr>
            </w:pPr>
          </w:p>
          <w:p w14:paraId="37B19557" w14:textId="552EAB4B" w:rsidR="00AA7DB5" w:rsidRPr="00E66B79" w:rsidRDefault="00AA7DB5" w:rsidP="00AA7DB5">
            <w:pPr>
              <w:pStyle w:val="Standard"/>
              <w:jc w:val="both"/>
              <w:rPr>
                <w:rFonts w:cs="Times New Roman"/>
                <w:sz w:val="22"/>
              </w:rPr>
            </w:pPr>
            <w:r>
              <w:rPr>
                <w:rFonts w:cs="Times New Roman"/>
                <w:sz w:val="22"/>
              </w:rPr>
              <w:t xml:space="preserve">Kritēriji papildināti ar </w:t>
            </w:r>
            <w:r w:rsidRPr="00E66B79">
              <w:rPr>
                <w:rFonts w:cs="Times New Roman"/>
                <w:sz w:val="22"/>
              </w:rPr>
              <w:t>jaun</w:t>
            </w:r>
            <w:r>
              <w:rPr>
                <w:rFonts w:cs="Times New Roman"/>
                <w:sz w:val="22"/>
              </w:rPr>
              <w:t>u</w:t>
            </w:r>
            <w:r w:rsidRPr="00E66B79">
              <w:rPr>
                <w:rFonts w:cs="Times New Roman"/>
                <w:sz w:val="22"/>
              </w:rPr>
              <w:t xml:space="preserve"> </w:t>
            </w:r>
            <w:r>
              <w:rPr>
                <w:rFonts w:cs="Times New Roman"/>
                <w:sz w:val="22"/>
              </w:rPr>
              <w:t xml:space="preserve">specifisko atbilstības </w:t>
            </w:r>
            <w:r w:rsidRPr="00E66B79">
              <w:rPr>
                <w:rFonts w:cs="Times New Roman"/>
                <w:sz w:val="22"/>
              </w:rPr>
              <w:t>kritērij</w:t>
            </w:r>
            <w:r>
              <w:rPr>
                <w:rFonts w:cs="Times New Roman"/>
                <w:sz w:val="22"/>
              </w:rPr>
              <w:t>u</w:t>
            </w:r>
            <w:r w:rsidRPr="00E66B79">
              <w:rPr>
                <w:rFonts w:cs="Times New Roman"/>
                <w:sz w:val="22"/>
              </w:rPr>
              <w:t xml:space="preserve"> Nr.</w:t>
            </w:r>
            <w:r>
              <w:rPr>
                <w:rFonts w:cs="Times New Roman"/>
                <w:sz w:val="22"/>
              </w:rPr>
              <w:t> </w:t>
            </w:r>
            <w:r w:rsidRPr="00E66B79">
              <w:rPr>
                <w:rFonts w:cs="Times New Roman"/>
                <w:sz w:val="22"/>
              </w:rPr>
              <w:t>3.</w:t>
            </w:r>
            <w:r w:rsidR="00256DF3">
              <w:rPr>
                <w:rFonts w:cs="Times New Roman"/>
                <w:sz w:val="22"/>
              </w:rPr>
              <w:t>3</w:t>
            </w:r>
            <w:r w:rsidRPr="00E66B79">
              <w:rPr>
                <w:rFonts w:cs="Times New Roman"/>
                <w:sz w:val="22"/>
              </w:rPr>
              <w:t>.</w:t>
            </w:r>
          </w:p>
          <w:p w14:paraId="25E1F79E" w14:textId="0731F07E" w:rsidR="00AA7DB5" w:rsidRPr="00AA7DB5" w:rsidRDefault="00AA7DB5" w:rsidP="00CC3F19">
            <w:pPr>
              <w:pStyle w:val="Standard"/>
              <w:jc w:val="both"/>
              <w:rPr>
                <w:b/>
                <w:bCs/>
                <w:sz w:val="22"/>
              </w:rPr>
            </w:pPr>
          </w:p>
        </w:tc>
        <w:tc>
          <w:tcPr>
            <w:tcW w:w="2790" w:type="dxa"/>
          </w:tcPr>
          <w:p w14:paraId="257E2965" w14:textId="2AD864C7" w:rsidR="00CC3F19" w:rsidRDefault="00AA7DB5" w:rsidP="00CC3F19">
            <w:pPr>
              <w:pStyle w:val="Standard"/>
              <w:jc w:val="both"/>
              <w:rPr>
                <w:sz w:val="22"/>
              </w:rPr>
            </w:pPr>
            <w:r>
              <w:rPr>
                <w:sz w:val="22"/>
              </w:rPr>
              <w:t>3.</w:t>
            </w:r>
            <w:r w:rsidR="00D217AD">
              <w:rPr>
                <w:sz w:val="22"/>
              </w:rPr>
              <w:t>3</w:t>
            </w:r>
            <w:r>
              <w:rPr>
                <w:sz w:val="22"/>
              </w:rPr>
              <w:t xml:space="preserve">. kritērijs: </w:t>
            </w:r>
          </w:p>
          <w:p w14:paraId="68E53AD1" w14:textId="55F20273" w:rsidR="00AA7DB5" w:rsidRPr="000054D9" w:rsidRDefault="00AA7DB5" w:rsidP="00CC3F19">
            <w:pPr>
              <w:pStyle w:val="Standard"/>
              <w:jc w:val="both"/>
              <w:rPr>
                <w:sz w:val="22"/>
              </w:rPr>
            </w:pPr>
            <w:r w:rsidRPr="00E66B79">
              <w:rPr>
                <w:rFonts w:eastAsia="Times New Roman"/>
                <w:sz w:val="22"/>
              </w:rPr>
              <w:t>“</w:t>
            </w:r>
            <w:r w:rsidRPr="00AA7DB5">
              <w:rPr>
                <w:sz w:val="22"/>
              </w:rPr>
              <w:t>Projekta iesniedzējs izpilda nepieciešamās prasības principa “Nenodarīt būtisku kaitējumu” ievērošanai.</w:t>
            </w:r>
            <w:r w:rsidRPr="00E66B79">
              <w:rPr>
                <w:rFonts w:eastAsia="Times New Roman"/>
                <w:sz w:val="22"/>
              </w:rPr>
              <w:t xml:space="preserve"> ”</w:t>
            </w:r>
          </w:p>
        </w:tc>
      </w:tr>
      <w:tr w:rsidR="00CC3F19" w:rsidRPr="000054D9" w14:paraId="58BE1AF6" w14:textId="77777777" w:rsidTr="6692F8A4">
        <w:tc>
          <w:tcPr>
            <w:tcW w:w="562" w:type="dxa"/>
          </w:tcPr>
          <w:p w14:paraId="1FB6847D" w14:textId="77777777" w:rsidR="00CC3F19" w:rsidRPr="000054D9" w:rsidRDefault="00CC3F19" w:rsidP="00CC3F19">
            <w:pPr>
              <w:pStyle w:val="Standard"/>
              <w:numPr>
                <w:ilvl w:val="0"/>
                <w:numId w:val="13"/>
              </w:numPr>
              <w:ind w:hanging="1049"/>
              <w:jc w:val="center"/>
              <w:rPr>
                <w:rFonts w:cs="Times New Roman"/>
                <w:b/>
                <w:bCs/>
                <w:sz w:val="22"/>
              </w:rPr>
            </w:pPr>
          </w:p>
        </w:tc>
        <w:tc>
          <w:tcPr>
            <w:tcW w:w="3119" w:type="dxa"/>
          </w:tcPr>
          <w:p w14:paraId="3805765E" w14:textId="3E6E655C" w:rsidR="00CC3F19" w:rsidRPr="000054D9" w:rsidRDefault="00CC3F19" w:rsidP="00CC3F19">
            <w:pPr>
              <w:pStyle w:val="Standard"/>
              <w:jc w:val="both"/>
              <w:rPr>
                <w:rFonts w:cs="Times New Roman"/>
                <w:b/>
                <w:bCs/>
                <w:sz w:val="22"/>
              </w:rPr>
            </w:pPr>
            <w:r>
              <w:rPr>
                <w:rFonts w:cs="Times New Roman"/>
                <w:b/>
                <w:bCs/>
                <w:sz w:val="22"/>
              </w:rPr>
              <w:t>Vispārīgi</w:t>
            </w:r>
          </w:p>
        </w:tc>
        <w:tc>
          <w:tcPr>
            <w:tcW w:w="4687" w:type="dxa"/>
          </w:tcPr>
          <w:p w14:paraId="4B4CAAA9" w14:textId="77777777" w:rsidR="00CC3F19" w:rsidRPr="001A26E6" w:rsidRDefault="00CC3F19" w:rsidP="00CC3F19">
            <w:pPr>
              <w:pStyle w:val="Standard"/>
              <w:jc w:val="both"/>
              <w:rPr>
                <w:rFonts w:cs="Times New Roman"/>
                <w:b/>
                <w:bCs/>
                <w:sz w:val="22"/>
              </w:rPr>
            </w:pPr>
            <w:r w:rsidRPr="00256DF3">
              <w:rPr>
                <w:rFonts w:cs="Times New Roman"/>
                <w:b/>
                <w:bCs/>
                <w:sz w:val="22"/>
              </w:rPr>
              <w:t>Vides aizsardzības un reģionālās attīstības ministrija</w:t>
            </w:r>
          </w:p>
          <w:p w14:paraId="33A5C7D4" w14:textId="77777777" w:rsidR="00CC3F19" w:rsidRDefault="00CC3F19" w:rsidP="00CC3F19">
            <w:pPr>
              <w:pStyle w:val="Standard"/>
              <w:jc w:val="both"/>
              <w:rPr>
                <w:rFonts w:cs="Times New Roman"/>
                <w:sz w:val="22"/>
              </w:rPr>
            </w:pPr>
          </w:p>
          <w:p w14:paraId="449ACE83" w14:textId="7A1CE368" w:rsidR="00CC3F19" w:rsidRPr="000054D9" w:rsidRDefault="00CC3F19" w:rsidP="00CC3F19">
            <w:pPr>
              <w:pStyle w:val="Standard"/>
              <w:jc w:val="both"/>
              <w:rPr>
                <w:rFonts w:cs="Times New Roman"/>
                <w:sz w:val="22"/>
              </w:rPr>
            </w:pPr>
            <w:r w:rsidRPr="001A26E6">
              <w:rPr>
                <w:rFonts w:cs="Times New Roman"/>
                <w:sz w:val="22"/>
              </w:rPr>
              <w:t xml:space="preserve">Ņemot vērā VARAM izstrādāto un MK apstiprināto informatīvo ziņojumu “Par Eiropas Savienības fondu 2021.-2027. gada plānošanas perioda specifisko atbalsta mērķu un to pasākumu ieguldījumiem reģionos atbilstoši teritoriālajai pieejai” (Ministru kabineta 17.10.2023. sēdes protokols Nr.52 27.§), lūdzam 4.3.2.SAM dokumentos norādīt, ka </w:t>
            </w:r>
            <w:r w:rsidRPr="00DC6D52">
              <w:rPr>
                <w:rFonts w:cs="Times New Roman"/>
                <w:b/>
                <w:bCs/>
                <w:sz w:val="22"/>
              </w:rPr>
              <w:t>pasākums tiks īstenots saskaņā ar teritoriālo pieeju un kāds teritoriālās pieejas veids tiks piemērots</w:t>
            </w:r>
            <w:r w:rsidRPr="001A26E6">
              <w:rPr>
                <w:rFonts w:cs="Times New Roman"/>
                <w:sz w:val="22"/>
              </w:rPr>
              <w:t>.</w:t>
            </w:r>
          </w:p>
        </w:tc>
        <w:tc>
          <w:tcPr>
            <w:tcW w:w="2790" w:type="dxa"/>
          </w:tcPr>
          <w:p w14:paraId="1EF1400E" w14:textId="77777777" w:rsidR="00CC3F19" w:rsidRDefault="00C51803" w:rsidP="00CC3F19">
            <w:pPr>
              <w:pStyle w:val="Standard"/>
              <w:jc w:val="both"/>
              <w:rPr>
                <w:rFonts w:cs="Times New Roman"/>
                <w:b/>
                <w:bCs/>
                <w:sz w:val="22"/>
              </w:rPr>
            </w:pPr>
            <w:r>
              <w:rPr>
                <w:rFonts w:cs="Times New Roman"/>
                <w:b/>
                <w:bCs/>
                <w:sz w:val="22"/>
              </w:rPr>
              <w:t>Ņemts vērā</w:t>
            </w:r>
          </w:p>
          <w:p w14:paraId="4B220EB7" w14:textId="77777777" w:rsidR="00C51803" w:rsidRDefault="00C51803" w:rsidP="00CC3F19">
            <w:pPr>
              <w:pStyle w:val="Standard"/>
              <w:jc w:val="both"/>
              <w:rPr>
                <w:rFonts w:cs="Times New Roman"/>
                <w:b/>
                <w:bCs/>
                <w:sz w:val="22"/>
              </w:rPr>
            </w:pPr>
          </w:p>
          <w:p w14:paraId="238DB328" w14:textId="7C5A3A74" w:rsidR="00C51803" w:rsidRPr="00C51803" w:rsidRDefault="00256DF3" w:rsidP="22CBFB20">
            <w:pPr>
              <w:pStyle w:val="Standard"/>
              <w:jc w:val="both"/>
              <w:rPr>
                <w:rFonts w:cs="Times New Roman"/>
                <w:sz w:val="22"/>
              </w:rPr>
            </w:pPr>
            <w:r>
              <w:rPr>
                <w:rFonts w:cs="Times New Roman"/>
                <w:sz w:val="22"/>
              </w:rPr>
              <w:t>Tiks p</w:t>
            </w:r>
            <w:r w:rsidR="00C51803" w:rsidRPr="22CBFB20">
              <w:rPr>
                <w:rFonts w:cs="Times New Roman"/>
                <w:sz w:val="22"/>
              </w:rPr>
              <w:t>recizēta Noteikumu projekta redakcija</w:t>
            </w:r>
            <w:r w:rsidR="29CBDA22" w:rsidRPr="22CBFB20">
              <w:rPr>
                <w:rFonts w:cs="Times New Roman"/>
                <w:sz w:val="22"/>
              </w:rPr>
              <w:t>.</w:t>
            </w:r>
          </w:p>
          <w:p w14:paraId="50FE60A5" w14:textId="5D8B59BB" w:rsidR="00C51803" w:rsidRPr="00C51803" w:rsidRDefault="00C51803" w:rsidP="22CBFB20">
            <w:pPr>
              <w:pStyle w:val="Standard"/>
              <w:jc w:val="both"/>
              <w:rPr>
                <w:rFonts w:cs="Times New Roman"/>
                <w:sz w:val="22"/>
              </w:rPr>
            </w:pPr>
          </w:p>
          <w:p w14:paraId="01F153AE" w14:textId="27C56334" w:rsidR="00C51803" w:rsidRPr="00C51803" w:rsidRDefault="29CBDA22" w:rsidP="22CBFB20">
            <w:pPr>
              <w:pStyle w:val="Standard"/>
              <w:jc w:val="both"/>
              <w:rPr>
                <w:rFonts w:cs="Times New Roman"/>
                <w:sz w:val="22"/>
              </w:rPr>
            </w:pPr>
            <w:r w:rsidRPr="22CBFB20">
              <w:rPr>
                <w:rFonts w:cs="Times New Roman"/>
                <w:sz w:val="22"/>
              </w:rPr>
              <w:t xml:space="preserve">Papildus skaidrojam, ka 4.3.2.SAM ietvaros </w:t>
            </w:r>
            <w:r w:rsidR="54D89222" w:rsidRPr="22CBFB20">
              <w:rPr>
                <w:rFonts w:cs="Times New Roman"/>
                <w:sz w:val="22"/>
              </w:rPr>
              <w:t>reģionālais pārklājums tiks nodrošināts, paredzot, ka viena projekta ietvaros pakalpojumi var tikt radīti vairākos reģionos.</w:t>
            </w:r>
          </w:p>
        </w:tc>
        <w:tc>
          <w:tcPr>
            <w:tcW w:w="2790" w:type="dxa"/>
          </w:tcPr>
          <w:p w14:paraId="2223F6C1" w14:textId="62F6DF55" w:rsidR="00CC3F19" w:rsidRPr="000054D9" w:rsidRDefault="00C51803" w:rsidP="00CC3F19">
            <w:pPr>
              <w:pStyle w:val="Standard"/>
              <w:jc w:val="both"/>
              <w:rPr>
                <w:rFonts w:cs="Times New Roman"/>
                <w:sz w:val="22"/>
              </w:rPr>
            </w:pPr>
            <w:r w:rsidRPr="00C51803">
              <w:rPr>
                <w:rFonts w:cs="Times New Roman"/>
                <w:sz w:val="22"/>
              </w:rPr>
              <w:t>4.</w:t>
            </w:r>
            <w:r w:rsidRPr="00C51803">
              <w:rPr>
                <w:rFonts w:cs="Times New Roman"/>
                <w:sz w:val="22"/>
              </w:rPr>
              <w:tab/>
              <w:t>Pasākumā piemērota teritoriālā pieeja, veicot ieguldījumus pilsētu funkcionālajās teritorijās, kas noteiktas plānošanas reģionu attīstības programmās.</w:t>
            </w:r>
          </w:p>
        </w:tc>
      </w:tr>
      <w:tr w:rsidR="00CC3F19" w:rsidRPr="000054D9" w14:paraId="7D68D4D3" w14:textId="77777777" w:rsidTr="6692F8A4">
        <w:tc>
          <w:tcPr>
            <w:tcW w:w="13948" w:type="dxa"/>
            <w:gridSpan w:val="5"/>
            <w:shd w:val="clear" w:color="auto" w:fill="C5E0B3" w:themeFill="accent6" w:themeFillTint="66"/>
          </w:tcPr>
          <w:p w14:paraId="3FC1806E" w14:textId="3935BC99" w:rsidR="00CC3F19" w:rsidRPr="000054D9" w:rsidRDefault="00CC3F19" w:rsidP="00CC3F19">
            <w:pPr>
              <w:pStyle w:val="Standard"/>
              <w:jc w:val="both"/>
              <w:rPr>
                <w:rFonts w:cs="Times New Roman"/>
                <w:b/>
                <w:bCs/>
                <w:sz w:val="22"/>
              </w:rPr>
            </w:pPr>
            <w:r w:rsidRPr="000054D9">
              <w:rPr>
                <w:rFonts w:cs="Times New Roman"/>
                <w:b/>
                <w:bCs/>
                <w:sz w:val="22"/>
              </w:rPr>
              <w:t>Par kritēriju piemērošanas metodiku</w:t>
            </w:r>
          </w:p>
        </w:tc>
      </w:tr>
      <w:tr w:rsidR="00754A0E" w:rsidRPr="000054D9" w14:paraId="067CA552" w14:textId="77777777" w:rsidTr="6692F8A4">
        <w:tc>
          <w:tcPr>
            <w:tcW w:w="562" w:type="dxa"/>
          </w:tcPr>
          <w:p w14:paraId="4651E31A" w14:textId="77777777" w:rsidR="00754A0E" w:rsidRPr="000054D9" w:rsidRDefault="00754A0E" w:rsidP="00CC3F19">
            <w:pPr>
              <w:pStyle w:val="Standard"/>
              <w:numPr>
                <w:ilvl w:val="0"/>
                <w:numId w:val="13"/>
              </w:numPr>
              <w:ind w:hanging="1049"/>
              <w:jc w:val="center"/>
              <w:rPr>
                <w:b/>
                <w:bCs/>
                <w:sz w:val="22"/>
              </w:rPr>
            </w:pPr>
          </w:p>
        </w:tc>
        <w:tc>
          <w:tcPr>
            <w:tcW w:w="3119" w:type="dxa"/>
          </w:tcPr>
          <w:p w14:paraId="4E822B1F" w14:textId="36046574" w:rsidR="00754A0E" w:rsidRDefault="00173383" w:rsidP="00CC3F19">
            <w:pPr>
              <w:pStyle w:val="Standard"/>
              <w:jc w:val="both"/>
              <w:rPr>
                <w:b/>
                <w:bCs/>
                <w:sz w:val="22"/>
              </w:rPr>
            </w:pPr>
            <w:r>
              <w:rPr>
                <w:b/>
                <w:bCs/>
                <w:sz w:val="22"/>
              </w:rPr>
              <w:t>Kritērijs Nr. 1.1.</w:t>
            </w:r>
          </w:p>
        </w:tc>
        <w:tc>
          <w:tcPr>
            <w:tcW w:w="4687" w:type="dxa"/>
          </w:tcPr>
          <w:p w14:paraId="1A840D16" w14:textId="77777777" w:rsidR="00754A0E" w:rsidRDefault="00173383" w:rsidP="00CC3F19">
            <w:pPr>
              <w:pStyle w:val="Standard"/>
              <w:jc w:val="both"/>
              <w:rPr>
                <w:b/>
                <w:bCs/>
                <w:sz w:val="22"/>
              </w:rPr>
            </w:pPr>
            <w:r w:rsidRPr="00173383">
              <w:rPr>
                <w:b/>
                <w:bCs/>
                <w:sz w:val="22"/>
              </w:rPr>
              <w:t>Finanšu ministrija</w:t>
            </w:r>
          </w:p>
          <w:p w14:paraId="56742EE0" w14:textId="77777777" w:rsidR="00AC7E74" w:rsidRPr="00173383" w:rsidRDefault="00AC7E74" w:rsidP="00CC3F19">
            <w:pPr>
              <w:pStyle w:val="Standard"/>
              <w:jc w:val="both"/>
              <w:rPr>
                <w:b/>
                <w:bCs/>
                <w:sz w:val="22"/>
              </w:rPr>
            </w:pPr>
          </w:p>
          <w:p w14:paraId="5517C259" w14:textId="093C9C8B" w:rsidR="00173383" w:rsidRDefault="00173383" w:rsidP="00A45B75">
            <w:pPr>
              <w:pStyle w:val="Standard"/>
              <w:jc w:val="both"/>
              <w:rPr>
                <w:sz w:val="22"/>
              </w:rPr>
            </w:pPr>
            <w:r>
              <w:rPr>
                <w:sz w:val="22"/>
              </w:rPr>
              <w:t>Lūdzam precizēt vienotā</w:t>
            </w:r>
            <w:proofErr w:type="gramStart"/>
            <w:r>
              <w:rPr>
                <w:sz w:val="22"/>
              </w:rPr>
              <w:t xml:space="preserve">  </w:t>
            </w:r>
            <w:proofErr w:type="gramEnd"/>
            <w:r>
              <w:rPr>
                <w:sz w:val="22"/>
              </w:rPr>
              <w:t>kritērija Nr.1.1.</w:t>
            </w:r>
            <w:r w:rsidR="00A45B75">
              <w:rPr>
                <w:sz w:val="22"/>
              </w:rPr>
              <w:t xml:space="preserve"> skaidrojumu, svītrojot rindkopā, kas sākas ar “Vērtējums ir “Jā”, ja” 2) apakšpunktu. Vēršam uzmanību, ka šī vienotā kritērija skaidrojums nav precizējams vai papildināms ar jaunu apakšpunktu, kā tas ir noteikts Vadošās iestādes izstrādātajā metodik</w:t>
            </w:r>
            <w:r w:rsidR="00AC7E74">
              <w:rPr>
                <w:sz w:val="22"/>
              </w:rPr>
              <w:t>as</w:t>
            </w:r>
            <w:r w:rsidR="00A45B75">
              <w:rPr>
                <w:sz w:val="22"/>
              </w:rPr>
              <w:t xml:space="preserve"> </w:t>
            </w:r>
            <w:r w:rsidR="00A45B75" w:rsidRPr="00A45B75">
              <w:rPr>
                <w:sz w:val="22"/>
              </w:rPr>
              <w:t>Nr. 3.1</w:t>
            </w:r>
            <w:r w:rsidR="00A45B75">
              <w:rPr>
                <w:sz w:val="22"/>
              </w:rPr>
              <w:t xml:space="preserve"> “</w:t>
            </w:r>
            <w:r w:rsidR="00A45B75" w:rsidRPr="00A45B75">
              <w:rPr>
                <w:sz w:val="22"/>
              </w:rPr>
              <w:t>Eiropas Reģionālās attīstības fonda, Eiropas Sociālā fonda plus,</w:t>
            </w:r>
            <w:r w:rsidR="00A45B75">
              <w:rPr>
                <w:sz w:val="22"/>
              </w:rPr>
              <w:t xml:space="preserve"> </w:t>
            </w:r>
            <w:r w:rsidR="00A45B75" w:rsidRPr="00A45B75">
              <w:rPr>
                <w:sz w:val="22"/>
              </w:rPr>
              <w:t>Kohēzijas fonda un Taisnīgas pārkārtošanās fonda projektu iesniegumu atlases metodika 2021.–</w:t>
            </w:r>
            <w:proofErr w:type="gramStart"/>
            <w:r w:rsidR="00A45B75" w:rsidRPr="00A45B75">
              <w:rPr>
                <w:sz w:val="22"/>
              </w:rPr>
              <w:t>2027.gadam</w:t>
            </w:r>
            <w:proofErr w:type="gramEnd"/>
            <w:r w:rsidR="00A45B75">
              <w:rPr>
                <w:sz w:val="22"/>
              </w:rPr>
              <w:t xml:space="preserve">” 2. pielikumā. Vienlaikus norādām, ka </w:t>
            </w:r>
            <w:r w:rsidR="00944709">
              <w:rPr>
                <w:sz w:val="22"/>
              </w:rPr>
              <w:t>kritērija piemērošanas skaidrojumā pēc būtības 1</w:t>
            </w:r>
            <w:r w:rsidR="00A45B75">
              <w:rPr>
                <w:sz w:val="22"/>
              </w:rPr>
              <w:t>) apakšpunkts</w:t>
            </w:r>
            <w:r w:rsidR="00944709">
              <w:rPr>
                <w:sz w:val="22"/>
              </w:rPr>
              <w:t xml:space="preserve"> iekļauj 2) apakšpunktu. </w:t>
            </w:r>
          </w:p>
          <w:p w14:paraId="72BD1375" w14:textId="5E68C0E1" w:rsidR="00173383" w:rsidRPr="00754A0E" w:rsidRDefault="00173383" w:rsidP="00CC3F19">
            <w:pPr>
              <w:pStyle w:val="Standard"/>
              <w:jc w:val="both"/>
              <w:rPr>
                <w:sz w:val="22"/>
              </w:rPr>
            </w:pPr>
          </w:p>
        </w:tc>
        <w:tc>
          <w:tcPr>
            <w:tcW w:w="2790" w:type="dxa"/>
          </w:tcPr>
          <w:p w14:paraId="7F5BBC2A" w14:textId="77777777" w:rsidR="00A82D29" w:rsidRDefault="00A82D29" w:rsidP="00A82D29">
            <w:pPr>
              <w:pStyle w:val="Standard"/>
              <w:jc w:val="both"/>
              <w:rPr>
                <w:b/>
                <w:bCs/>
                <w:sz w:val="22"/>
              </w:rPr>
            </w:pPr>
            <w:r w:rsidRPr="00AA7DB5">
              <w:rPr>
                <w:b/>
                <w:bCs/>
                <w:sz w:val="22"/>
              </w:rPr>
              <w:lastRenderedPageBreak/>
              <w:t>Ņemts vērā</w:t>
            </w:r>
          </w:p>
          <w:p w14:paraId="39AAB755" w14:textId="77777777" w:rsidR="00754A0E" w:rsidRDefault="00754A0E" w:rsidP="00CC3F19">
            <w:pPr>
              <w:pStyle w:val="Standard"/>
              <w:jc w:val="both"/>
              <w:rPr>
                <w:sz w:val="22"/>
              </w:rPr>
            </w:pPr>
          </w:p>
          <w:p w14:paraId="5AA06F7B" w14:textId="702CD188" w:rsidR="00A82D29" w:rsidRPr="000054D9" w:rsidRDefault="00A82D29" w:rsidP="00CC3F19">
            <w:pPr>
              <w:pStyle w:val="Standard"/>
              <w:jc w:val="both"/>
              <w:rPr>
                <w:sz w:val="22"/>
              </w:rPr>
            </w:pPr>
            <w:r w:rsidRPr="00E66B79">
              <w:rPr>
                <w:rFonts w:cs="Times New Roman"/>
                <w:sz w:val="22"/>
              </w:rPr>
              <w:t>Precizēt</w:t>
            </w:r>
            <w:r>
              <w:rPr>
                <w:rFonts w:cs="Times New Roman"/>
                <w:sz w:val="22"/>
              </w:rPr>
              <w:t>a</w:t>
            </w:r>
            <w:r w:rsidRPr="00E66B79">
              <w:rPr>
                <w:rFonts w:cs="Times New Roman"/>
                <w:sz w:val="22"/>
              </w:rPr>
              <w:t xml:space="preserve"> </w:t>
            </w:r>
            <w:r>
              <w:rPr>
                <w:rFonts w:cs="Times New Roman"/>
                <w:sz w:val="22"/>
              </w:rPr>
              <w:t>kritērija Nr. 1</w:t>
            </w:r>
            <w:r w:rsidRPr="00E66B79">
              <w:rPr>
                <w:rFonts w:cs="Times New Roman"/>
                <w:sz w:val="22"/>
              </w:rPr>
              <w:t>.</w:t>
            </w:r>
            <w:r>
              <w:rPr>
                <w:rFonts w:cs="Times New Roman"/>
                <w:sz w:val="22"/>
              </w:rPr>
              <w:t>1</w:t>
            </w:r>
            <w:r w:rsidRPr="00E66B79">
              <w:rPr>
                <w:rFonts w:cs="Times New Roman"/>
                <w:sz w:val="22"/>
              </w:rPr>
              <w:t>.</w:t>
            </w:r>
            <w:r>
              <w:rPr>
                <w:rFonts w:cs="Times New Roman"/>
                <w:sz w:val="22"/>
              </w:rPr>
              <w:t xml:space="preserve"> </w:t>
            </w:r>
            <w:r w:rsidRPr="00E66B79">
              <w:rPr>
                <w:rFonts w:cs="Times New Roman"/>
                <w:sz w:val="22"/>
              </w:rPr>
              <w:t>piemērošanas metodika.</w:t>
            </w:r>
          </w:p>
        </w:tc>
        <w:tc>
          <w:tcPr>
            <w:tcW w:w="2790" w:type="dxa"/>
          </w:tcPr>
          <w:p w14:paraId="0FB06AF0" w14:textId="1E15E044" w:rsidR="00A82D29" w:rsidRPr="00E66B79" w:rsidRDefault="00A82D29" w:rsidP="00A82D29">
            <w:pPr>
              <w:pStyle w:val="Standard"/>
              <w:jc w:val="both"/>
              <w:rPr>
                <w:rFonts w:cs="Times New Roman"/>
                <w:sz w:val="22"/>
              </w:rPr>
            </w:pPr>
            <w:r>
              <w:rPr>
                <w:rFonts w:cs="Times New Roman"/>
                <w:sz w:val="22"/>
              </w:rPr>
              <w:t>K</w:t>
            </w:r>
            <w:r w:rsidRPr="00E66B79">
              <w:rPr>
                <w:rFonts w:cs="Times New Roman"/>
                <w:sz w:val="22"/>
              </w:rPr>
              <w:t>ritērija</w:t>
            </w:r>
            <w:r>
              <w:rPr>
                <w:rFonts w:cs="Times New Roman"/>
                <w:sz w:val="22"/>
              </w:rPr>
              <w:t xml:space="preserve"> Nr. 1.1.</w:t>
            </w:r>
            <w:r w:rsidRPr="00E66B79">
              <w:rPr>
                <w:rFonts w:cs="Times New Roman"/>
                <w:sz w:val="22"/>
              </w:rPr>
              <w:t xml:space="preserve"> piemērošanas metodika precizēta: </w:t>
            </w:r>
          </w:p>
          <w:p w14:paraId="24C923E9" w14:textId="77777777" w:rsidR="00754A0E" w:rsidRDefault="00754A0E" w:rsidP="00CC3F19">
            <w:pPr>
              <w:pStyle w:val="Standard"/>
              <w:jc w:val="both"/>
              <w:rPr>
                <w:sz w:val="22"/>
              </w:rPr>
            </w:pPr>
          </w:p>
          <w:p w14:paraId="4E3197F2" w14:textId="77777777" w:rsidR="00A82D29" w:rsidRPr="00A82D29" w:rsidRDefault="00A82D29" w:rsidP="00A82D29">
            <w:pPr>
              <w:pStyle w:val="Standard"/>
              <w:jc w:val="both"/>
              <w:rPr>
                <w:sz w:val="22"/>
              </w:rPr>
            </w:pPr>
            <w:r w:rsidRPr="00A82D29">
              <w:rPr>
                <w:sz w:val="22"/>
              </w:rPr>
              <w:t>Vērtējums ir “Jā”, ja:</w:t>
            </w:r>
          </w:p>
          <w:p w14:paraId="5F9EEE69" w14:textId="77777777" w:rsidR="00A82D29" w:rsidRPr="00A82D29" w:rsidRDefault="00A82D29" w:rsidP="00A82D29">
            <w:pPr>
              <w:pStyle w:val="Standard"/>
              <w:jc w:val="both"/>
              <w:rPr>
                <w:sz w:val="22"/>
              </w:rPr>
            </w:pPr>
            <w:r w:rsidRPr="00A82D29">
              <w:rPr>
                <w:sz w:val="22"/>
              </w:rPr>
              <w:t>1)</w:t>
            </w:r>
            <w:r w:rsidRPr="00A82D29">
              <w:rPr>
                <w:sz w:val="22"/>
              </w:rPr>
              <w:tab/>
              <w:t>projekta iesniedzējs atbilst MK noteikumos par SAM īstenošanu noteiktajam iesniedzēju lokam un attiecīgajām izvirzītajām prasībām;</w:t>
            </w:r>
          </w:p>
          <w:p w14:paraId="32564480" w14:textId="453B4263" w:rsidR="00A82D29" w:rsidRPr="00A82D29" w:rsidRDefault="00A82D29" w:rsidP="00A82D29">
            <w:pPr>
              <w:pStyle w:val="Standard"/>
              <w:jc w:val="both"/>
              <w:rPr>
                <w:sz w:val="22"/>
              </w:rPr>
            </w:pPr>
            <w:r w:rsidRPr="00A82D29">
              <w:rPr>
                <w:sz w:val="22"/>
              </w:rPr>
              <w:t>2)</w:t>
            </w:r>
            <w:r w:rsidRPr="00A82D29">
              <w:rPr>
                <w:sz w:val="22"/>
              </w:rPr>
              <w:tab/>
              <w:t xml:space="preserve">projekta īstenošanas termiņš nepārsniedz MK noteikumos par SAM </w:t>
            </w:r>
            <w:r w:rsidRPr="00A82D29">
              <w:rPr>
                <w:sz w:val="22"/>
              </w:rPr>
              <w:lastRenderedPageBreak/>
              <w:t>īstenošanu noteiktajam termiņam;</w:t>
            </w:r>
          </w:p>
          <w:p w14:paraId="57E1A4D0" w14:textId="6921B942" w:rsidR="00A82D29" w:rsidRPr="000054D9" w:rsidRDefault="00A82D29" w:rsidP="00A82D29">
            <w:pPr>
              <w:pStyle w:val="Standard"/>
              <w:jc w:val="both"/>
              <w:rPr>
                <w:sz w:val="22"/>
              </w:rPr>
            </w:pPr>
            <w:r w:rsidRPr="00A82D29">
              <w:rPr>
                <w:sz w:val="22"/>
              </w:rPr>
              <w:t>3)</w:t>
            </w:r>
            <w:r w:rsidRPr="00A82D29">
              <w:rPr>
                <w:sz w:val="22"/>
              </w:rPr>
              <w:tab/>
              <w:t>projekta iesniegumam pievienotie pielikumi atbilst MK noteikumos par SAM īstenošanu noteiktajām prasībām, tai skaitā ir pievienoti visi nolikumā uzskaitītie projekta iesniedzējam noteiktie papildu pievienojamie pielikumi.</w:t>
            </w:r>
          </w:p>
        </w:tc>
      </w:tr>
      <w:tr w:rsidR="00173383" w:rsidRPr="000054D9" w14:paraId="01AF61A7" w14:textId="77777777" w:rsidTr="6692F8A4">
        <w:tc>
          <w:tcPr>
            <w:tcW w:w="562" w:type="dxa"/>
          </w:tcPr>
          <w:p w14:paraId="1941C29E" w14:textId="77777777" w:rsidR="00173383" w:rsidRPr="000054D9" w:rsidRDefault="00173383" w:rsidP="00173383">
            <w:pPr>
              <w:pStyle w:val="Standard"/>
              <w:numPr>
                <w:ilvl w:val="0"/>
                <w:numId w:val="13"/>
              </w:numPr>
              <w:ind w:hanging="1049"/>
              <w:jc w:val="center"/>
              <w:rPr>
                <w:b/>
                <w:bCs/>
                <w:sz w:val="22"/>
              </w:rPr>
            </w:pPr>
          </w:p>
        </w:tc>
        <w:tc>
          <w:tcPr>
            <w:tcW w:w="3119" w:type="dxa"/>
          </w:tcPr>
          <w:p w14:paraId="0AD3E7EA" w14:textId="430C3AAC" w:rsidR="00173383" w:rsidRPr="00754A0E" w:rsidRDefault="00173383" w:rsidP="00173383">
            <w:pPr>
              <w:pStyle w:val="Standard"/>
              <w:jc w:val="both"/>
              <w:rPr>
                <w:b/>
                <w:bCs/>
                <w:sz w:val="22"/>
              </w:rPr>
            </w:pPr>
            <w:r w:rsidRPr="00754A0E">
              <w:rPr>
                <w:rFonts w:cs="Times New Roman"/>
                <w:b/>
                <w:bCs/>
                <w:sz w:val="22"/>
              </w:rPr>
              <w:t>Kritērijs Nr. 1.2.</w:t>
            </w:r>
          </w:p>
        </w:tc>
        <w:tc>
          <w:tcPr>
            <w:tcW w:w="4687" w:type="dxa"/>
          </w:tcPr>
          <w:p w14:paraId="47339E05" w14:textId="77777777" w:rsidR="00173383" w:rsidRDefault="00173383" w:rsidP="00173383">
            <w:pPr>
              <w:pStyle w:val="Standard"/>
              <w:jc w:val="both"/>
              <w:rPr>
                <w:b/>
                <w:bCs/>
                <w:sz w:val="22"/>
              </w:rPr>
            </w:pPr>
            <w:r>
              <w:rPr>
                <w:b/>
                <w:bCs/>
                <w:sz w:val="22"/>
              </w:rPr>
              <w:t>Finanšu ministrija</w:t>
            </w:r>
          </w:p>
          <w:p w14:paraId="2241EEE0" w14:textId="77777777" w:rsidR="00173383" w:rsidRDefault="00173383" w:rsidP="00173383">
            <w:pPr>
              <w:pStyle w:val="Standard"/>
              <w:jc w:val="both"/>
              <w:rPr>
                <w:b/>
                <w:bCs/>
                <w:sz w:val="22"/>
              </w:rPr>
            </w:pPr>
          </w:p>
          <w:p w14:paraId="7E74BE8A" w14:textId="5675BEAC" w:rsidR="00173383" w:rsidRDefault="00173383" w:rsidP="00173383">
            <w:pPr>
              <w:pStyle w:val="Standard"/>
              <w:jc w:val="both"/>
              <w:rPr>
                <w:b/>
                <w:bCs/>
                <w:sz w:val="22"/>
              </w:rPr>
            </w:pPr>
            <w:r w:rsidRPr="00754A0E">
              <w:rPr>
                <w:sz w:val="22"/>
              </w:rPr>
              <w:t>Lūdzam papildināt 1.2.kritērija skaidrojumu atbilstības noteikšanai</w:t>
            </w:r>
            <w:r>
              <w:rPr>
                <w:sz w:val="22"/>
              </w:rPr>
              <w:t>,</w:t>
            </w:r>
            <w:r w:rsidRPr="00754A0E">
              <w:rPr>
                <w:sz w:val="22"/>
              </w:rPr>
              <w:t xml:space="preserve"> </w:t>
            </w:r>
            <w:r>
              <w:rPr>
                <w:sz w:val="22"/>
              </w:rPr>
              <w:t xml:space="preserve">paredzot vērtēt arī sadarbības partnera </w:t>
            </w:r>
            <w:r w:rsidRPr="00754A0E">
              <w:rPr>
                <w:sz w:val="22"/>
              </w:rPr>
              <w:t>īstenošanas un finanšu kapacitāt</w:t>
            </w:r>
            <w:r>
              <w:rPr>
                <w:sz w:val="22"/>
              </w:rPr>
              <w:t>i</w:t>
            </w:r>
            <w:r w:rsidRPr="00754A0E">
              <w:rPr>
                <w:sz w:val="22"/>
              </w:rPr>
              <w:t xml:space="preserve"> projekta īstenošanai.</w:t>
            </w:r>
          </w:p>
        </w:tc>
        <w:tc>
          <w:tcPr>
            <w:tcW w:w="2790" w:type="dxa"/>
          </w:tcPr>
          <w:p w14:paraId="1F8E9931" w14:textId="77777777" w:rsidR="00447EA3" w:rsidRDefault="00447EA3" w:rsidP="00447EA3">
            <w:pPr>
              <w:pStyle w:val="Standard"/>
              <w:jc w:val="both"/>
              <w:rPr>
                <w:b/>
                <w:bCs/>
                <w:sz w:val="22"/>
              </w:rPr>
            </w:pPr>
            <w:r w:rsidRPr="00AA7DB5">
              <w:rPr>
                <w:b/>
                <w:bCs/>
                <w:sz w:val="22"/>
              </w:rPr>
              <w:t>Ņemts vērā</w:t>
            </w:r>
          </w:p>
          <w:p w14:paraId="3C97A8BE" w14:textId="77777777" w:rsidR="00447EA3" w:rsidRDefault="00447EA3" w:rsidP="00447EA3">
            <w:pPr>
              <w:pStyle w:val="Standard"/>
              <w:jc w:val="both"/>
              <w:rPr>
                <w:sz w:val="22"/>
              </w:rPr>
            </w:pPr>
          </w:p>
          <w:p w14:paraId="5FBEBFB9" w14:textId="5D8F3BE6" w:rsidR="00173383" w:rsidRPr="000054D9" w:rsidRDefault="00447EA3" w:rsidP="00447EA3">
            <w:pPr>
              <w:pStyle w:val="Standard"/>
              <w:jc w:val="both"/>
              <w:rPr>
                <w:sz w:val="22"/>
              </w:rPr>
            </w:pPr>
            <w:r w:rsidRPr="00E66B79">
              <w:rPr>
                <w:rFonts w:cs="Times New Roman"/>
                <w:sz w:val="22"/>
              </w:rPr>
              <w:t>Precizēt</w:t>
            </w:r>
            <w:r>
              <w:rPr>
                <w:rFonts w:cs="Times New Roman"/>
                <w:sz w:val="22"/>
              </w:rPr>
              <w:t>a</w:t>
            </w:r>
            <w:r w:rsidRPr="00E66B79">
              <w:rPr>
                <w:rFonts w:cs="Times New Roman"/>
                <w:sz w:val="22"/>
              </w:rPr>
              <w:t xml:space="preserve"> </w:t>
            </w:r>
            <w:r>
              <w:rPr>
                <w:rFonts w:cs="Times New Roman"/>
                <w:sz w:val="22"/>
              </w:rPr>
              <w:t>kritērija Nr. 1</w:t>
            </w:r>
            <w:r w:rsidRPr="00E66B79">
              <w:rPr>
                <w:rFonts w:cs="Times New Roman"/>
                <w:sz w:val="22"/>
              </w:rPr>
              <w:t>.</w:t>
            </w:r>
            <w:r>
              <w:rPr>
                <w:rFonts w:cs="Times New Roman"/>
                <w:sz w:val="22"/>
              </w:rPr>
              <w:t>2</w:t>
            </w:r>
            <w:r w:rsidRPr="00E66B79">
              <w:rPr>
                <w:rFonts w:cs="Times New Roman"/>
                <w:sz w:val="22"/>
              </w:rPr>
              <w:t>.</w:t>
            </w:r>
            <w:r>
              <w:rPr>
                <w:rFonts w:cs="Times New Roman"/>
                <w:sz w:val="22"/>
              </w:rPr>
              <w:t xml:space="preserve"> </w:t>
            </w:r>
            <w:r w:rsidRPr="00E66B79">
              <w:rPr>
                <w:rFonts w:cs="Times New Roman"/>
                <w:sz w:val="22"/>
              </w:rPr>
              <w:t>piemērošanas metodika.</w:t>
            </w:r>
          </w:p>
        </w:tc>
        <w:tc>
          <w:tcPr>
            <w:tcW w:w="2790" w:type="dxa"/>
          </w:tcPr>
          <w:p w14:paraId="7605E5AC" w14:textId="65728626" w:rsidR="00F34F09" w:rsidRDefault="00F34F09" w:rsidP="00F34F09">
            <w:pPr>
              <w:pStyle w:val="Standard"/>
              <w:jc w:val="both"/>
              <w:rPr>
                <w:rFonts w:cs="Times New Roman"/>
                <w:sz w:val="22"/>
              </w:rPr>
            </w:pPr>
            <w:r>
              <w:rPr>
                <w:rFonts w:cs="Times New Roman"/>
                <w:sz w:val="22"/>
              </w:rPr>
              <w:t>K</w:t>
            </w:r>
            <w:r w:rsidRPr="00E66B79">
              <w:rPr>
                <w:rFonts w:cs="Times New Roman"/>
                <w:sz w:val="22"/>
              </w:rPr>
              <w:t>ritērija</w:t>
            </w:r>
            <w:r>
              <w:rPr>
                <w:rFonts w:cs="Times New Roman"/>
                <w:sz w:val="22"/>
              </w:rPr>
              <w:t xml:space="preserve"> Nr. 1.2.</w:t>
            </w:r>
            <w:r w:rsidRPr="00E66B79">
              <w:rPr>
                <w:rFonts w:cs="Times New Roman"/>
                <w:sz w:val="22"/>
              </w:rPr>
              <w:t xml:space="preserve"> piemērošanas metodika precizēta: </w:t>
            </w:r>
          </w:p>
          <w:p w14:paraId="759147E1" w14:textId="77777777" w:rsidR="006C505F" w:rsidRPr="00E66B79" w:rsidRDefault="006C505F" w:rsidP="00F34F09">
            <w:pPr>
              <w:pStyle w:val="Standard"/>
              <w:jc w:val="both"/>
              <w:rPr>
                <w:rFonts w:cs="Times New Roman"/>
                <w:sz w:val="22"/>
              </w:rPr>
            </w:pPr>
          </w:p>
          <w:p w14:paraId="5C8E18B5" w14:textId="77777777" w:rsidR="006C505F" w:rsidRPr="006C505F" w:rsidRDefault="006C505F" w:rsidP="006C505F">
            <w:pPr>
              <w:pStyle w:val="Standard"/>
              <w:jc w:val="both"/>
              <w:rPr>
                <w:sz w:val="22"/>
              </w:rPr>
            </w:pPr>
            <w:r w:rsidRPr="006C505F">
              <w:rPr>
                <w:sz w:val="22"/>
              </w:rPr>
              <w:t xml:space="preserve">Vērtējums ir „Jā”, </w:t>
            </w:r>
            <w:proofErr w:type="gramStart"/>
            <w:r w:rsidRPr="006C505F">
              <w:rPr>
                <w:sz w:val="22"/>
              </w:rPr>
              <w:t>ja projekta iesniegumā ir pietiekami</w:t>
            </w:r>
            <w:proofErr w:type="gramEnd"/>
            <w:r w:rsidRPr="006C505F">
              <w:rPr>
                <w:sz w:val="22"/>
              </w:rPr>
              <w:t xml:space="preserve"> raksturota un pamatota projekta iesniedzēja un projekta sadarbības partnera (ja attiecināms) projekta īstenošanas un finanšu kapacitāte.</w:t>
            </w:r>
          </w:p>
          <w:p w14:paraId="5256C0CD" w14:textId="77777777" w:rsidR="006C505F" w:rsidRPr="006C505F" w:rsidRDefault="006C505F" w:rsidP="006C505F">
            <w:pPr>
              <w:pStyle w:val="Standard"/>
              <w:jc w:val="both"/>
              <w:rPr>
                <w:sz w:val="22"/>
              </w:rPr>
            </w:pPr>
            <w:r w:rsidRPr="006C505F">
              <w:rPr>
                <w:sz w:val="22"/>
              </w:rPr>
              <w:t>1) Projekta administrēšanas un īstenošanas kapacitāte ir pietiekama:</w:t>
            </w:r>
          </w:p>
          <w:p w14:paraId="652F6BA3" w14:textId="77777777" w:rsidR="006C505F" w:rsidRPr="006C505F" w:rsidRDefault="006C505F" w:rsidP="006C505F">
            <w:pPr>
              <w:pStyle w:val="Standard"/>
              <w:jc w:val="both"/>
              <w:rPr>
                <w:sz w:val="22"/>
              </w:rPr>
            </w:pPr>
            <w:r w:rsidRPr="006C505F">
              <w:rPr>
                <w:sz w:val="22"/>
              </w:rPr>
              <w:t>a)</w:t>
            </w:r>
            <w:r w:rsidRPr="006C505F">
              <w:rPr>
                <w:sz w:val="22"/>
              </w:rPr>
              <w:tab/>
              <w:t xml:space="preserve">ja projekta iesniegumā ir aprakstīts projekta vadības process un tā organizēšana, un norādīti vadības procesa organizēšanai nepieciešamie atbildīgie speciālisti – to pieejamība vai plānotā iesaistīšana projekta ieviešanas laikā, tiem plānotā </w:t>
            </w:r>
            <w:r w:rsidRPr="006C505F">
              <w:rPr>
                <w:sz w:val="22"/>
              </w:rPr>
              <w:lastRenderedPageBreak/>
              <w:t>nepieciešamā kvalifikācija, pieredze un kompetence;</w:t>
            </w:r>
          </w:p>
          <w:p w14:paraId="67412D05" w14:textId="77777777" w:rsidR="006C505F" w:rsidRPr="006C505F" w:rsidRDefault="006C505F" w:rsidP="006C505F">
            <w:pPr>
              <w:pStyle w:val="Standard"/>
              <w:jc w:val="both"/>
              <w:rPr>
                <w:sz w:val="22"/>
              </w:rPr>
            </w:pPr>
            <w:r w:rsidRPr="006C505F">
              <w:rPr>
                <w:sz w:val="22"/>
              </w:rPr>
              <w:t>b)</w:t>
            </w:r>
            <w:r w:rsidRPr="006C505F">
              <w:rPr>
                <w:sz w:val="22"/>
              </w:rPr>
              <w:tab/>
              <w:t xml:space="preserve">ir iekļauta informācija kā projekta iesniedzējs un projekta sadarbības partneris (ja attiecināms) plāno nodrošināt (piesaistīt) minētos projekta vadības personāla pārstāvjus; </w:t>
            </w:r>
          </w:p>
          <w:p w14:paraId="4A690CBB" w14:textId="77777777" w:rsidR="006C505F" w:rsidRPr="006C505F" w:rsidRDefault="006C505F" w:rsidP="006C505F">
            <w:pPr>
              <w:pStyle w:val="Standard"/>
              <w:jc w:val="both"/>
              <w:rPr>
                <w:sz w:val="22"/>
              </w:rPr>
            </w:pPr>
            <w:r w:rsidRPr="006C505F">
              <w:rPr>
                <w:sz w:val="22"/>
              </w:rPr>
              <w:t>c)</w:t>
            </w:r>
            <w:r w:rsidRPr="006C505F">
              <w:rPr>
                <w:sz w:val="22"/>
              </w:rPr>
              <w:tab/>
              <w:t>ja projekta attiecināmajās izmaksās ir iekļautas MK noteikumos minētās projekta vadības personāla atlīdzības izmaksas, projekta iesniegumā par katru projekta vadības vai projekta īstenošanas komandas personāla pārstāvi ir papildus norādīts:</w:t>
            </w:r>
          </w:p>
          <w:p w14:paraId="3B1A3BB3" w14:textId="77777777" w:rsidR="006C505F" w:rsidRPr="006C505F" w:rsidRDefault="006C505F" w:rsidP="006C505F">
            <w:pPr>
              <w:pStyle w:val="Standard"/>
              <w:jc w:val="both"/>
              <w:rPr>
                <w:sz w:val="22"/>
              </w:rPr>
            </w:pPr>
            <w:r w:rsidRPr="006C505F">
              <w:rPr>
                <w:sz w:val="22"/>
              </w:rPr>
              <w:t>- vai ar projekta vadības personāla pārstāvi ir noslēgts vai plānots slēgt darba līgumu, uzņēmuma līgumu vai pakalpojumu līgumu;</w:t>
            </w:r>
          </w:p>
          <w:p w14:paraId="78710CBA" w14:textId="77777777" w:rsidR="006C505F" w:rsidRPr="006C505F" w:rsidRDefault="006C505F" w:rsidP="006C505F">
            <w:pPr>
              <w:pStyle w:val="Standard"/>
              <w:jc w:val="both"/>
              <w:rPr>
                <w:sz w:val="22"/>
              </w:rPr>
            </w:pPr>
            <w:r w:rsidRPr="006C505F">
              <w:rPr>
                <w:sz w:val="22"/>
              </w:rPr>
              <w:t>- vai ar projekta īstenošanas pārstāvi ir noslēgts vai plānots slēgt darba līgumu;</w:t>
            </w:r>
          </w:p>
          <w:p w14:paraId="24023F72" w14:textId="77777777" w:rsidR="006C505F" w:rsidRPr="006C505F" w:rsidRDefault="006C505F" w:rsidP="006C505F">
            <w:pPr>
              <w:pStyle w:val="Standard"/>
              <w:jc w:val="both"/>
              <w:rPr>
                <w:sz w:val="22"/>
              </w:rPr>
            </w:pPr>
            <w:r w:rsidRPr="006C505F">
              <w:rPr>
                <w:sz w:val="22"/>
              </w:rPr>
              <w:t xml:space="preserve">- darba līguma gadījumā norāda noslodzes lielumu (procentos), ko attiecīgais darbinieks veic projekta ietvaros </w:t>
            </w:r>
            <w:proofErr w:type="gramStart"/>
            <w:r w:rsidRPr="006C505F">
              <w:rPr>
                <w:sz w:val="22"/>
              </w:rPr>
              <w:t>(</w:t>
            </w:r>
            <w:proofErr w:type="gramEnd"/>
            <w:r w:rsidRPr="006C505F">
              <w:rPr>
                <w:sz w:val="22"/>
              </w:rPr>
              <w:t>attiecināma ne mazāk kā 30 % noslodze.</w:t>
            </w:r>
          </w:p>
          <w:p w14:paraId="0548C645" w14:textId="77777777" w:rsidR="006C505F" w:rsidRPr="006C505F" w:rsidRDefault="006C505F" w:rsidP="006C505F">
            <w:pPr>
              <w:pStyle w:val="Standard"/>
              <w:jc w:val="both"/>
              <w:rPr>
                <w:sz w:val="22"/>
              </w:rPr>
            </w:pPr>
            <w:r w:rsidRPr="006C505F">
              <w:rPr>
                <w:sz w:val="22"/>
              </w:rPr>
              <w:t>d) ir norādīts, kā tiks uzkrāti dati par rādītajiem.</w:t>
            </w:r>
          </w:p>
          <w:p w14:paraId="53EAEDFA" w14:textId="77777777" w:rsidR="006C505F" w:rsidRPr="006C505F" w:rsidRDefault="006C505F" w:rsidP="006C505F">
            <w:pPr>
              <w:pStyle w:val="Standard"/>
              <w:jc w:val="both"/>
              <w:rPr>
                <w:sz w:val="22"/>
              </w:rPr>
            </w:pPr>
            <w:r w:rsidRPr="006C505F">
              <w:rPr>
                <w:sz w:val="22"/>
              </w:rPr>
              <w:lastRenderedPageBreak/>
              <w:t>2) Finanšu kapacitāte ir pietiekama, ja:</w:t>
            </w:r>
          </w:p>
          <w:p w14:paraId="76B87066" w14:textId="77777777" w:rsidR="006C505F" w:rsidRPr="006C505F" w:rsidRDefault="006C505F" w:rsidP="006C505F">
            <w:pPr>
              <w:pStyle w:val="Standard"/>
              <w:jc w:val="both"/>
              <w:rPr>
                <w:sz w:val="22"/>
              </w:rPr>
            </w:pPr>
            <w:r w:rsidRPr="006C505F">
              <w:rPr>
                <w:sz w:val="22"/>
              </w:rPr>
              <w:t>a)</w:t>
            </w:r>
            <w:r w:rsidRPr="006C505F">
              <w:rPr>
                <w:sz w:val="22"/>
              </w:rPr>
              <w:tab/>
              <w:t>norādīti un pamatoti finansējuma avoti projektā plānotā projekta iesniedzēja un projekta sadarbības partnera (ja attiecināms) līdzfinansējuma nodrošināšanai;</w:t>
            </w:r>
          </w:p>
          <w:p w14:paraId="1CBCFE6E" w14:textId="77777777" w:rsidR="006C505F" w:rsidRPr="006C505F" w:rsidRDefault="006C505F" w:rsidP="006C505F">
            <w:pPr>
              <w:pStyle w:val="Standard"/>
              <w:jc w:val="both"/>
              <w:rPr>
                <w:sz w:val="22"/>
              </w:rPr>
            </w:pPr>
            <w:r w:rsidRPr="006C505F">
              <w:rPr>
                <w:sz w:val="22"/>
              </w:rPr>
              <w:t>b)</w:t>
            </w:r>
            <w:r w:rsidRPr="006C505F">
              <w:rPr>
                <w:sz w:val="22"/>
              </w:rPr>
              <w:tab/>
              <w:t xml:space="preserve">sniegts pamatojums </w:t>
            </w:r>
            <w:proofErr w:type="gramStart"/>
            <w:r w:rsidRPr="006C505F">
              <w:rPr>
                <w:sz w:val="22"/>
              </w:rPr>
              <w:t>par projekta iesnieguma iesniedzēja un projekta</w:t>
            </w:r>
            <w:proofErr w:type="gramEnd"/>
            <w:r w:rsidRPr="006C505F">
              <w:rPr>
                <w:sz w:val="22"/>
              </w:rPr>
              <w:t xml:space="preserve"> sadarbības partnera (ja attiecināms) spēju nodrošināt nepieciešamo projekta iesniedzēja un projekta sadarbības partnera (ja attiecināms) līdzfinansējumu, tai skaitā pamatojot projekta iesniedzēja un projekta sadarbības partnera (ja attiecināms) pieejamību norādītajiem finansējuma avotiem projekta īstenošanas laikā un pamatojot nepārtrauktas finanšu plūsmas nodrošināšanu projekta ieviešanai tā plānotajā apjomā un termiņā;</w:t>
            </w:r>
          </w:p>
          <w:p w14:paraId="33CE0555" w14:textId="197981BA" w:rsidR="00173383" w:rsidRPr="000054D9" w:rsidRDefault="006C505F" w:rsidP="006C505F">
            <w:pPr>
              <w:pStyle w:val="Standard"/>
              <w:jc w:val="both"/>
              <w:rPr>
                <w:sz w:val="22"/>
              </w:rPr>
            </w:pPr>
            <w:r w:rsidRPr="006C505F">
              <w:rPr>
                <w:sz w:val="22"/>
              </w:rPr>
              <w:t>c)</w:t>
            </w:r>
            <w:r w:rsidRPr="006C505F">
              <w:rPr>
                <w:sz w:val="22"/>
              </w:rPr>
              <w:tab/>
              <w:t>projekta iesniegumā ir iekļauta informācija, vai nepieciešams avanss.</w:t>
            </w:r>
          </w:p>
        </w:tc>
      </w:tr>
      <w:tr w:rsidR="00173383" w:rsidRPr="000054D9" w14:paraId="39AC4F61" w14:textId="77777777" w:rsidTr="6692F8A4">
        <w:tc>
          <w:tcPr>
            <w:tcW w:w="562" w:type="dxa"/>
          </w:tcPr>
          <w:p w14:paraId="594E3FAD" w14:textId="77777777" w:rsidR="00173383" w:rsidRPr="000054D9" w:rsidRDefault="00173383" w:rsidP="00173383">
            <w:pPr>
              <w:pStyle w:val="Standard"/>
              <w:numPr>
                <w:ilvl w:val="0"/>
                <w:numId w:val="13"/>
              </w:numPr>
              <w:ind w:hanging="1049"/>
              <w:jc w:val="center"/>
              <w:rPr>
                <w:rFonts w:cs="Times New Roman"/>
                <w:b/>
                <w:bCs/>
                <w:sz w:val="22"/>
              </w:rPr>
            </w:pPr>
          </w:p>
        </w:tc>
        <w:tc>
          <w:tcPr>
            <w:tcW w:w="3119" w:type="dxa"/>
          </w:tcPr>
          <w:p w14:paraId="29EDC44A" w14:textId="3868EE7A" w:rsidR="00173383" w:rsidRPr="000054D9" w:rsidRDefault="00173383" w:rsidP="00173383">
            <w:pPr>
              <w:pStyle w:val="Standard"/>
              <w:jc w:val="both"/>
              <w:rPr>
                <w:rFonts w:cs="Times New Roman"/>
                <w:b/>
                <w:bCs/>
                <w:sz w:val="22"/>
              </w:rPr>
            </w:pPr>
            <w:r>
              <w:rPr>
                <w:rFonts w:cs="Times New Roman"/>
                <w:b/>
                <w:bCs/>
                <w:sz w:val="22"/>
              </w:rPr>
              <w:t>Kritērijs Nr. 2.4.</w:t>
            </w:r>
          </w:p>
        </w:tc>
        <w:tc>
          <w:tcPr>
            <w:tcW w:w="4687" w:type="dxa"/>
          </w:tcPr>
          <w:p w14:paraId="5A9FB028" w14:textId="77777777" w:rsidR="00173383" w:rsidRPr="00967E90" w:rsidRDefault="00173383" w:rsidP="00173383">
            <w:pPr>
              <w:pStyle w:val="Standard"/>
              <w:jc w:val="both"/>
              <w:rPr>
                <w:rFonts w:cs="Times New Roman"/>
                <w:b/>
                <w:bCs/>
                <w:sz w:val="22"/>
              </w:rPr>
            </w:pPr>
            <w:r w:rsidRPr="00967E90">
              <w:rPr>
                <w:rFonts w:cs="Times New Roman"/>
                <w:b/>
                <w:bCs/>
                <w:sz w:val="22"/>
              </w:rPr>
              <w:t>Centrālā finanšu un līgumu aģentūra</w:t>
            </w:r>
          </w:p>
          <w:p w14:paraId="3B35CDEA" w14:textId="77777777" w:rsidR="00173383" w:rsidRDefault="00173383" w:rsidP="00173383">
            <w:pPr>
              <w:pStyle w:val="Standard"/>
              <w:jc w:val="both"/>
              <w:rPr>
                <w:rFonts w:cs="Times New Roman"/>
                <w:sz w:val="22"/>
              </w:rPr>
            </w:pPr>
          </w:p>
          <w:p w14:paraId="26EA6810" w14:textId="77777777" w:rsidR="00173383" w:rsidRPr="00967E90" w:rsidRDefault="00173383" w:rsidP="00173383">
            <w:pPr>
              <w:pStyle w:val="Standard"/>
              <w:jc w:val="both"/>
              <w:rPr>
                <w:sz w:val="22"/>
              </w:rPr>
            </w:pPr>
            <w:r w:rsidRPr="00967E90">
              <w:rPr>
                <w:sz w:val="22"/>
              </w:rPr>
              <w:t xml:space="preserve">Ierosinām kritērija piemērošanas metodikā norādītos gadu skaitļus aktualizēt tiem pieskaitot klāt 5 gadus. Attiecīgi mainot 2017. gadu uz 2022. </w:t>
            </w:r>
            <w:r w:rsidRPr="00967E90">
              <w:rPr>
                <w:sz w:val="22"/>
              </w:rPr>
              <w:lastRenderedPageBreak/>
              <w:t>gadu, 2018. gadu uz 2023. gadu un 2019. gadu mainot uz 2024. gadu.</w:t>
            </w:r>
          </w:p>
          <w:p w14:paraId="09A6F97E" w14:textId="77777777" w:rsidR="00173383" w:rsidRPr="00967E90" w:rsidRDefault="00173383" w:rsidP="00173383">
            <w:pPr>
              <w:pStyle w:val="Standard"/>
              <w:jc w:val="both"/>
              <w:rPr>
                <w:sz w:val="22"/>
              </w:rPr>
            </w:pPr>
          </w:p>
          <w:p w14:paraId="219008B3" w14:textId="65BE1BC8" w:rsidR="00173383" w:rsidRPr="000054D9" w:rsidRDefault="00173383" w:rsidP="22CBFB20">
            <w:pPr>
              <w:pStyle w:val="Standard"/>
              <w:jc w:val="both"/>
              <w:rPr>
                <w:rFonts w:cs="Times New Roman"/>
                <w:sz w:val="22"/>
              </w:rPr>
            </w:pPr>
            <w:r w:rsidRPr="22CBFB20">
              <w:rPr>
                <w:sz w:val="22"/>
              </w:rPr>
              <w:t>Pamatojoties uz pieredzi SAMP 5.1.1.7. vērtēšanā, lai nekavētu projektu iesniegumu vērtēšanas procesu papildināt informāciju Vērtējums ir “N/A”, kur norādīts, ka</w:t>
            </w:r>
            <w:proofErr w:type="gramStart"/>
            <w:r w:rsidRPr="22CBFB20">
              <w:rPr>
                <w:sz w:val="22"/>
              </w:rPr>
              <w:t xml:space="preserve">  </w:t>
            </w:r>
            <w:proofErr w:type="gramEnd"/>
            <w:r w:rsidRPr="22CBFB20">
              <w:rPr>
                <w:sz w:val="22"/>
              </w:rPr>
              <w:t xml:space="preserve">Vērtējums tiek piešķirts, pamatojoties uz Kultūras ministrijas sniegto atzinumu, nosakot ka </w:t>
            </w:r>
            <w:r w:rsidRPr="22CBFB20">
              <w:rPr>
                <w:b/>
                <w:bCs/>
                <w:sz w:val="22"/>
              </w:rPr>
              <w:t>Kultūras ministrijas atzinums iesniedzams kā obligātais pielikums pie projekta iesnieguma uz projekta iesniegšanas brīdi.</w:t>
            </w:r>
          </w:p>
        </w:tc>
        <w:tc>
          <w:tcPr>
            <w:tcW w:w="2790" w:type="dxa"/>
          </w:tcPr>
          <w:p w14:paraId="330E0B6E" w14:textId="12993165" w:rsidR="5D785C5F" w:rsidRDefault="5D785C5F" w:rsidP="22CBFB20">
            <w:pPr>
              <w:pStyle w:val="Standard"/>
              <w:jc w:val="both"/>
              <w:rPr>
                <w:b/>
                <w:bCs/>
                <w:sz w:val="22"/>
              </w:rPr>
            </w:pPr>
            <w:r w:rsidRPr="22CBFB20">
              <w:rPr>
                <w:b/>
                <w:bCs/>
                <w:sz w:val="22"/>
              </w:rPr>
              <w:lastRenderedPageBreak/>
              <w:t>Skaidrojam</w:t>
            </w:r>
          </w:p>
          <w:p w14:paraId="7D45AB29" w14:textId="77777777" w:rsidR="00C60575" w:rsidRPr="00C51803" w:rsidRDefault="00C60575" w:rsidP="00C60575">
            <w:pPr>
              <w:pStyle w:val="Standard"/>
              <w:jc w:val="both"/>
              <w:rPr>
                <w:sz w:val="22"/>
                <w:highlight w:val="yellow"/>
              </w:rPr>
            </w:pPr>
          </w:p>
          <w:p w14:paraId="79872663" w14:textId="50CF8472" w:rsidR="00173383" w:rsidRPr="000054D9" w:rsidRDefault="00A97CF9" w:rsidP="22CBFB20">
            <w:pPr>
              <w:pStyle w:val="Standard"/>
              <w:jc w:val="both"/>
              <w:rPr>
                <w:rFonts w:cs="Times New Roman"/>
                <w:sz w:val="22"/>
              </w:rPr>
            </w:pPr>
            <w:r w:rsidRPr="22CBFB20">
              <w:rPr>
                <w:rFonts w:cs="Times New Roman"/>
                <w:sz w:val="22"/>
              </w:rPr>
              <w:t>Precizēta 2.</w:t>
            </w:r>
            <w:r w:rsidR="00D217AD">
              <w:rPr>
                <w:rFonts w:cs="Times New Roman"/>
                <w:sz w:val="22"/>
              </w:rPr>
              <w:t>3</w:t>
            </w:r>
            <w:r w:rsidRPr="22CBFB20">
              <w:rPr>
                <w:rFonts w:cs="Times New Roman"/>
                <w:sz w:val="22"/>
              </w:rPr>
              <w:t>.</w:t>
            </w:r>
            <w:r w:rsidR="00D217AD">
              <w:rPr>
                <w:rFonts w:cs="Times New Roman"/>
                <w:sz w:val="22"/>
              </w:rPr>
              <w:t> </w:t>
            </w:r>
            <w:r w:rsidRPr="22CBFB20">
              <w:rPr>
                <w:rFonts w:cs="Times New Roman"/>
                <w:sz w:val="22"/>
              </w:rPr>
              <w:t>kritērija piemērošanas metodika</w:t>
            </w:r>
            <w:r w:rsidR="63DEF2C3" w:rsidRPr="22CBFB20">
              <w:rPr>
                <w:rFonts w:cs="Times New Roman"/>
                <w:sz w:val="22"/>
              </w:rPr>
              <w:t>.</w:t>
            </w:r>
          </w:p>
          <w:p w14:paraId="2DAA8F40" w14:textId="16E6F32C" w:rsidR="00173383" w:rsidRPr="000054D9" w:rsidRDefault="63DEF2C3" w:rsidP="22CBFB20">
            <w:pPr>
              <w:pStyle w:val="Standard"/>
              <w:jc w:val="both"/>
              <w:rPr>
                <w:rFonts w:cs="Times New Roman"/>
                <w:sz w:val="22"/>
              </w:rPr>
            </w:pPr>
            <w:r w:rsidRPr="22CBFB20">
              <w:rPr>
                <w:rFonts w:cs="Times New Roman"/>
                <w:sz w:val="22"/>
              </w:rPr>
              <w:lastRenderedPageBreak/>
              <w:t xml:space="preserve">Skaidrojam, ka atklāta konkursa gadījumā, kur iesniedzēja tai skaitā ir arī biedrības un nodibinājumi, Kultūras ministrija nesniegs atzinumu par projektu iesniedzēju ieņēmumiem. Nepieciešams paredzēt, </w:t>
            </w:r>
            <w:r w:rsidR="4F7A6002" w:rsidRPr="22CBFB20">
              <w:rPr>
                <w:rFonts w:cs="Times New Roman"/>
                <w:sz w:val="22"/>
              </w:rPr>
              <w:t>ka projekta iesniedzējs projekta iesniegumam pievieno veidlapu, kurā norāda nepieciešamo informāciju.</w:t>
            </w:r>
          </w:p>
        </w:tc>
        <w:tc>
          <w:tcPr>
            <w:tcW w:w="2790" w:type="dxa"/>
          </w:tcPr>
          <w:p w14:paraId="03464406" w14:textId="77777777" w:rsidR="00173383" w:rsidRPr="000054D9" w:rsidRDefault="00173383" w:rsidP="00173383">
            <w:pPr>
              <w:pStyle w:val="Standard"/>
              <w:jc w:val="both"/>
              <w:rPr>
                <w:rFonts w:cs="Times New Roman"/>
                <w:sz w:val="22"/>
              </w:rPr>
            </w:pPr>
          </w:p>
        </w:tc>
      </w:tr>
      <w:tr w:rsidR="00173383" w:rsidRPr="000054D9" w14:paraId="7CE2B13B" w14:textId="77777777" w:rsidTr="6692F8A4">
        <w:tc>
          <w:tcPr>
            <w:tcW w:w="562" w:type="dxa"/>
          </w:tcPr>
          <w:p w14:paraId="3814331A" w14:textId="77777777" w:rsidR="00173383" w:rsidRPr="000054D9" w:rsidRDefault="00173383" w:rsidP="00173383">
            <w:pPr>
              <w:pStyle w:val="Standard"/>
              <w:numPr>
                <w:ilvl w:val="0"/>
                <w:numId w:val="13"/>
              </w:numPr>
              <w:ind w:hanging="1049"/>
              <w:jc w:val="center"/>
              <w:rPr>
                <w:rFonts w:cs="Times New Roman"/>
                <w:b/>
                <w:bCs/>
                <w:sz w:val="22"/>
              </w:rPr>
            </w:pPr>
          </w:p>
        </w:tc>
        <w:tc>
          <w:tcPr>
            <w:tcW w:w="3119" w:type="dxa"/>
          </w:tcPr>
          <w:p w14:paraId="79F9319A" w14:textId="1493D62F" w:rsidR="00173383" w:rsidRPr="000054D9" w:rsidRDefault="00173383" w:rsidP="00173383">
            <w:pPr>
              <w:pStyle w:val="Standard"/>
              <w:jc w:val="both"/>
              <w:rPr>
                <w:rFonts w:cs="Times New Roman"/>
                <w:b/>
                <w:bCs/>
                <w:sz w:val="22"/>
              </w:rPr>
            </w:pPr>
            <w:r>
              <w:rPr>
                <w:rFonts w:cs="Times New Roman"/>
                <w:b/>
                <w:bCs/>
                <w:sz w:val="22"/>
              </w:rPr>
              <w:t>Kritērijs Nr. 3.1.</w:t>
            </w:r>
          </w:p>
        </w:tc>
        <w:tc>
          <w:tcPr>
            <w:tcW w:w="4687" w:type="dxa"/>
          </w:tcPr>
          <w:p w14:paraId="083B54F5" w14:textId="77777777" w:rsidR="00173383" w:rsidRPr="00967E90" w:rsidRDefault="00173383" w:rsidP="00173383">
            <w:pPr>
              <w:pStyle w:val="Standard"/>
              <w:jc w:val="both"/>
              <w:rPr>
                <w:rFonts w:cs="Times New Roman"/>
                <w:b/>
                <w:bCs/>
                <w:sz w:val="22"/>
              </w:rPr>
            </w:pPr>
            <w:r w:rsidRPr="00967E90">
              <w:rPr>
                <w:rFonts w:cs="Times New Roman"/>
                <w:b/>
                <w:bCs/>
                <w:sz w:val="22"/>
              </w:rPr>
              <w:t>Centrālā finanšu un līgumu aģentūra</w:t>
            </w:r>
          </w:p>
          <w:p w14:paraId="6736EA82" w14:textId="77777777" w:rsidR="00173383" w:rsidRDefault="00173383" w:rsidP="00173383">
            <w:pPr>
              <w:pStyle w:val="Standard"/>
              <w:jc w:val="both"/>
              <w:rPr>
                <w:rFonts w:cs="Times New Roman"/>
                <w:sz w:val="22"/>
              </w:rPr>
            </w:pPr>
          </w:p>
          <w:p w14:paraId="3CC3FC16" w14:textId="2AFDE669" w:rsidR="00173383" w:rsidRPr="00967E90" w:rsidRDefault="00173383" w:rsidP="00173383">
            <w:pPr>
              <w:pStyle w:val="Standard"/>
              <w:jc w:val="both"/>
              <w:rPr>
                <w:sz w:val="22"/>
              </w:rPr>
            </w:pPr>
            <w:r w:rsidRPr="00967E90">
              <w:rPr>
                <w:sz w:val="22"/>
              </w:rPr>
              <w:t xml:space="preserve">Pamatojoties uz pieredzi sadarbībā ar pieaicināto ekspertu </w:t>
            </w:r>
            <w:proofErr w:type="spellStart"/>
            <w:r w:rsidRPr="00967E90">
              <w:rPr>
                <w:sz w:val="22"/>
              </w:rPr>
              <w:t>Bauhaus</w:t>
            </w:r>
            <w:proofErr w:type="spellEnd"/>
            <w:r w:rsidRPr="00967E90">
              <w:rPr>
                <w:sz w:val="22"/>
              </w:rPr>
              <w:t xml:space="preserve"> kritērija vērtēšanā SAM 5.1.1.3. un 5.1.1.7. lūdzam pievienot sk</w:t>
            </w:r>
            <w:r>
              <w:rPr>
                <w:sz w:val="22"/>
              </w:rPr>
              <w:t>a</w:t>
            </w:r>
            <w:r w:rsidRPr="00967E90">
              <w:rPr>
                <w:sz w:val="22"/>
              </w:rPr>
              <w:t xml:space="preserve">idrojošo materiālu par </w:t>
            </w:r>
            <w:proofErr w:type="spellStart"/>
            <w:r w:rsidRPr="00967E90">
              <w:rPr>
                <w:sz w:val="22"/>
              </w:rPr>
              <w:t>Bauhaus</w:t>
            </w:r>
            <w:proofErr w:type="spellEnd"/>
            <w:r w:rsidRPr="00967E90">
              <w:rPr>
                <w:sz w:val="22"/>
              </w:rPr>
              <w:t xml:space="preserve"> Principu piemērošanu, “Jaunā Eiropas “</w:t>
            </w:r>
            <w:proofErr w:type="spellStart"/>
            <w:r w:rsidRPr="00967E90">
              <w:rPr>
                <w:sz w:val="22"/>
              </w:rPr>
              <w:t>Bauhaus</w:t>
            </w:r>
            <w:proofErr w:type="spellEnd"/>
            <w:r w:rsidRPr="00967E90">
              <w:rPr>
                <w:sz w:val="22"/>
              </w:rPr>
              <w:t>” kritēriju piemērošanas skaidrojums",</w:t>
            </w:r>
          </w:p>
          <w:p w14:paraId="67F0D3E2" w14:textId="28958537" w:rsidR="00173383" w:rsidRPr="000054D9" w:rsidRDefault="00173383" w:rsidP="00173383">
            <w:pPr>
              <w:pStyle w:val="Standard"/>
              <w:jc w:val="both"/>
              <w:rPr>
                <w:rFonts w:cs="Times New Roman"/>
                <w:sz w:val="22"/>
              </w:rPr>
            </w:pPr>
            <w:r w:rsidRPr="00967E90">
              <w:rPr>
                <w:sz w:val="22"/>
              </w:rPr>
              <w:t xml:space="preserve">kas sagatavots priekš 5.1.1.3 pasākuma. Pieejams: </w:t>
            </w:r>
            <w:hyperlink r:id="rId11" w:history="1">
              <w:r w:rsidRPr="00BE5BCC">
                <w:rPr>
                  <w:rStyle w:val="Hipersaite"/>
                  <w:sz w:val="22"/>
                </w:rPr>
                <w:t>https://www.esfondi.lv/pieejamais-atbalsts/5-1-1-3-publiskas-artelpas-attistiba</w:t>
              </w:r>
            </w:hyperlink>
            <w:r>
              <w:rPr>
                <w:sz w:val="22"/>
              </w:rPr>
              <w:t xml:space="preserve"> </w:t>
            </w:r>
          </w:p>
        </w:tc>
        <w:tc>
          <w:tcPr>
            <w:tcW w:w="2790" w:type="dxa"/>
          </w:tcPr>
          <w:p w14:paraId="2D7A9A44" w14:textId="77777777" w:rsidR="005120F3" w:rsidRDefault="005120F3" w:rsidP="005120F3">
            <w:pPr>
              <w:pStyle w:val="Standard"/>
              <w:jc w:val="both"/>
              <w:rPr>
                <w:b/>
                <w:bCs/>
                <w:sz w:val="22"/>
              </w:rPr>
            </w:pPr>
            <w:r w:rsidRPr="00AA7DB5">
              <w:rPr>
                <w:b/>
                <w:bCs/>
                <w:sz w:val="22"/>
              </w:rPr>
              <w:t>Ņemts vērā</w:t>
            </w:r>
          </w:p>
          <w:p w14:paraId="7982516F" w14:textId="77777777" w:rsidR="00173383" w:rsidRDefault="00173383" w:rsidP="00173383">
            <w:pPr>
              <w:pStyle w:val="Standard"/>
              <w:jc w:val="both"/>
              <w:rPr>
                <w:rFonts w:cs="Times New Roman"/>
                <w:sz w:val="22"/>
              </w:rPr>
            </w:pPr>
          </w:p>
          <w:p w14:paraId="4363D451" w14:textId="16555C6B" w:rsidR="00463EA0" w:rsidRPr="00967E90" w:rsidRDefault="00463EA0" w:rsidP="00463EA0">
            <w:pPr>
              <w:pStyle w:val="Standard"/>
              <w:jc w:val="both"/>
              <w:rPr>
                <w:sz w:val="22"/>
              </w:rPr>
            </w:pPr>
            <w:r>
              <w:rPr>
                <w:rFonts w:cs="Times New Roman"/>
                <w:sz w:val="22"/>
              </w:rPr>
              <w:t xml:space="preserve">Projektu atlases dokumentācija papildināta ar skaidrojošo materiālu </w:t>
            </w:r>
            <w:r w:rsidRPr="00967E90">
              <w:rPr>
                <w:sz w:val="22"/>
              </w:rPr>
              <w:t>“Jaunā Eiropas “</w:t>
            </w:r>
            <w:proofErr w:type="spellStart"/>
            <w:r w:rsidRPr="00967E90">
              <w:rPr>
                <w:sz w:val="22"/>
              </w:rPr>
              <w:t>Bauhaus</w:t>
            </w:r>
            <w:proofErr w:type="spellEnd"/>
            <w:r w:rsidRPr="00967E90">
              <w:rPr>
                <w:sz w:val="22"/>
              </w:rPr>
              <w:t>” kritēriju piemērošanas skaidrojums"</w:t>
            </w:r>
            <w:r>
              <w:rPr>
                <w:sz w:val="22"/>
              </w:rPr>
              <w:t>.</w:t>
            </w:r>
          </w:p>
          <w:p w14:paraId="1CFD7785" w14:textId="67D4F07B" w:rsidR="00463EA0" w:rsidRPr="000054D9" w:rsidRDefault="00463EA0" w:rsidP="00173383">
            <w:pPr>
              <w:pStyle w:val="Standard"/>
              <w:jc w:val="both"/>
              <w:rPr>
                <w:rFonts w:cs="Times New Roman"/>
                <w:sz w:val="22"/>
              </w:rPr>
            </w:pPr>
          </w:p>
        </w:tc>
        <w:tc>
          <w:tcPr>
            <w:tcW w:w="2790" w:type="dxa"/>
          </w:tcPr>
          <w:p w14:paraId="42DEEACE" w14:textId="77777777" w:rsidR="00173383" w:rsidRPr="000054D9" w:rsidRDefault="00173383" w:rsidP="00173383">
            <w:pPr>
              <w:pStyle w:val="Standard"/>
              <w:jc w:val="both"/>
              <w:rPr>
                <w:rFonts w:cs="Times New Roman"/>
                <w:sz w:val="22"/>
              </w:rPr>
            </w:pPr>
          </w:p>
        </w:tc>
      </w:tr>
      <w:tr w:rsidR="00C51803" w:rsidRPr="000054D9" w14:paraId="3AE86F74" w14:textId="77777777" w:rsidTr="6692F8A4">
        <w:tc>
          <w:tcPr>
            <w:tcW w:w="562" w:type="dxa"/>
          </w:tcPr>
          <w:p w14:paraId="607446B7" w14:textId="77777777" w:rsidR="00C51803" w:rsidRPr="000054D9" w:rsidRDefault="00C51803" w:rsidP="00173383">
            <w:pPr>
              <w:pStyle w:val="Standard"/>
              <w:numPr>
                <w:ilvl w:val="0"/>
                <w:numId w:val="13"/>
              </w:numPr>
              <w:ind w:hanging="1049"/>
              <w:jc w:val="center"/>
              <w:rPr>
                <w:rFonts w:cs="Times New Roman"/>
                <w:b/>
                <w:bCs/>
                <w:sz w:val="22"/>
              </w:rPr>
            </w:pPr>
          </w:p>
        </w:tc>
        <w:tc>
          <w:tcPr>
            <w:tcW w:w="3119" w:type="dxa"/>
          </w:tcPr>
          <w:p w14:paraId="67C9B6B7" w14:textId="494B12B2" w:rsidR="00C51803" w:rsidRPr="000054D9" w:rsidRDefault="00C51803" w:rsidP="00173383">
            <w:pPr>
              <w:pStyle w:val="Standard"/>
              <w:jc w:val="both"/>
              <w:rPr>
                <w:rFonts w:cs="Times New Roman"/>
                <w:b/>
                <w:bCs/>
                <w:sz w:val="22"/>
              </w:rPr>
            </w:pPr>
            <w:r>
              <w:rPr>
                <w:rFonts w:cs="Times New Roman"/>
                <w:b/>
                <w:bCs/>
                <w:sz w:val="22"/>
              </w:rPr>
              <w:t>Kritērijs Nr. 4.1.</w:t>
            </w:r>
          </w:p>
        </w:tc>
        <w:tc>
          <w:tcPr>
            <w:tcW w:w="4687" w:type="dxa"/>
          </w:tcPr>
          <w:p w14:paraId="3ED5E3F6" w14:textId="77777777" w:rsidR="00C51803" w:rsidRPr="00967E90" w:rsidRDefault="00C51803" w:rsidP="00173383">
            <w:pPr>
              <w:pStyle w:val="Standard"/>
              <w:jc w:val="both"/>
              <w:rPr>
                <w:rFonts w:cs="Times New Roman"/>
                <w:b/>
                <w:bCs/>
                <w:sz w:val="22"/>
              </w:rPr>
            </w:pPr>
            <w:r w:rsidRPr="00967E90">
              <w:rPr>
                <w:rFonts w:cs="Times New Roman"/>
                <w:b/>
                <w:bCs/>
                <w:sz w:val="22"/>
              </w:rPr>
              <w:t>Centrālā finanšu un līgumu aģentūra</w:t>
            </w:r>
          </w:p>
          <w:p w14:paraId="2E9735C6" w14:textId="77777777" w:rsidR="00C51803" w:rsidRDefault="00C51803" w:rsidP="00173383">
            <w:pPr>
              <w:pStyle w:val="Standard"/>
              <w:jc w:val="both"/>
              <w:rPr>
                <w:rFonts w:cs="Times New Roman"/>
                <w:sz w:val="22"/>
              </w:rPr>
            </w:pPr>
          </w:p>
          <w:p w14:paraId="40737B53" w14:textId="0E29D3D8" w:rsidR="00C51803" w:rsidRPr="000054D9" w:rsidRDefault="00C51803" w:rsidP="00173383">
            <w:pPr>
              <w:pStyle w:val="Standard"/>
              <w:jc w:val="both"/>
              <w:rPr>
                <w:rFonts w:cs="Times New Roman"/>
                <w:sz w:val="22"/>
              </w:rPr>
            </w:pPr>
            <w:r w:rsidRPr="00967E90">
              <w:rPr>
                <w:rFonts w:cs="Times New Roman"/>
                <w:sz w:val="22"/>
              </w:rPr>
              <w:t xml:space="preserve">Aicinām apvienot kritērijus 4.1. un 4.3., </w:t>
            </w:r>
            <w:proofErr w:type="gramStart"/>
            <w:r w:rsidRPr="00967E90">
              <w:rPr>
                <w:rFonts w:cs="Times New Roman"/>
                <w:sz w:val="22"/>
              </w:rPr>
              <w:t>kas attiecas uz Organizācijas darbības stratēģiju</w:t>
            </w:r>
            <w:proofErr w:type="gramEnd"/>
            <w:r w:rsidRPr="00967E90">
              <w:rPr>
                <w:rFonts w:cs="Times New Roman"/>
                <w:sz w:val="22"/>
              </w:rPr>
              <w:t xml:space="preserve"> un pārcelt uz specifisko atbilstības kritēriju kopu, nosakot kā priekšnosacījumu projektu iesniegumu iesniegšanai.   Papildinot informāciju par to, ka</w:t>
            </w:r>
            <w:proofErr w:type="gramStart"/>
            <w:r w:rsidRPr="00967E90">
              <w:rPr>
                <w:rFonts w:cs="Times New Roman"/>
                <w:sz w:val="22"/>
              </w:rPr>
              <w:t xml:space="preserve">  </w:t>
            </w:r>
            <w:proofErr w:type="gramEnd"/>
            <w:r w:rsidRPr="00967E90">
              <w:rPr>
                <w:rFonts w:cs="Times New Roman"/>
                <w:sz w:val="22"/>
              </w:rPr>
              <w:t xml:space="preserve">Organizācijas darbības stratēģijai vai, gadījumā ja  iesniedzējs ir pašvaldība – teritorijas attīstības plānošanas dokumentam ir jābūt apstiprinātam uz projekta iesniegšanas dienu.  Organizācijas darbības stratēģijas atbilstības vērtēšana ir KM kompetence, tāpat kā pašvaldību teritorijas attīstības plānošanas dokumentu atbilstības noteikšana ir VARAM kompetencē, attiecīgi </w:t>
            </w:r>
            <w:r w:rsidRPr="00967E90">
              <w:rPr>
                <w:rFonts w:cs="Times New Roman"/>
                <w:sz w:val="22"/>
              </w:rPr>
              <w:lastRenderedPageBreak/>
              <w:t>aicinām kritērija atbilstības vērtēšanai pieaicināt ekspertus no KM un VARAM.</w:t>
            </w:r>
          </w:p>
        </w:tc>
        <w:tc>
          <w:tcPr>
            <w:tcW w:w="2790" w:type="dxa"/>
            <w:vMerge w:val="restart"/>
          </w:tcPr>
          <w:p w14:paraId="13754CF2" w14:textId="77777777" w:rsidR="00C51803" w:rsidRPr="00C51803" w:rsidRDefault="00C51803" w:rsidP="22CBFB20">
            <w:pPr>
              <w:pStyle w:val="Standard"/>
              <w:jc w:val="both"/>
              <w:rPr>
                <w:sz w:val="22"/>
              </w:rPr>
            </w:pPr>
            <w:r w:rsidRPr="22CBFB20">
              <w:rPr>
                <w:b/>
                <w:bCs/>
                <w:sz w:val="22"/>
              </w:rPr>
              <w:lastRenderedPageBreak/>
              <w:t>Ņemts vērā un skaidrots</w:t>
            </w:r>
            <w:r w:rsidRPr="22CBFB20">
              <w:rPr>
                <w:sz w:val="22"/>
              </w:rPr>
              <w:t>.</w:t>
            </w:r>
          </w:p>
          <w:p w14:paraId="1615A9DF" w14:textId="77777777" w:rsidR="00C51803" w:rsidRPr="00C51803" w:rsidRDefault="00C51803" w:rsidP="00C51803">
            <w:pPr>
              <w:pStyle w:val="Standard"/>
              <w:jc w:val="both"/>
              <w:rPr>
                <w:sz w:val="22"/>
              </w:rPr>
            </w:pPr>
          </w:p>
          <w:p w14:paraId="58228E33" w14:textId="047B8D01" w:rsidR="00C51803" w:rsidRPr="00C51803" w:rsidRDefault="002B32B8" w:rsidP="00C51803">
            <w:pPr>
              <w:pStyle w:val="Standard"/>
              <w:jc w:val="both"/>
              <w:rPr>
                <w:sz w:val="22"/>
              </w:rPr>
            </w:pPr>
            <w:r>
              <w:rPr>
                <w:sz w:val="22"/>
              </w:rPr>
              <w:t>Pārskatītas kritēriju redakcijas</w:t>
            </w:r>
            <w:r w:rsidR="00C51803" w:rsidRPr="00C51803">
              <w:rPr>
                <w:sz w:val="22"/>
              </w:rPr>
              <w:t>.</w:t>
            </w:r>
          </w:p>
          <w:p w14:paraId="40B63197" w14:textId="77777777" w:rsidR="00C51803" w:rsidRPr="00C51803" w:rsidRDefault="00C51803" w:rsidP="00C51803">
            <w:pPr>
              <w:pStyle w:val="Standard"/>
              <w:jc w:val="both"/>
              <w:rPr>
                <w:sz w:val="22"/>
              </w:rPr>
            </w:pPr>
          </w:p>
          <w:p w14:paraId="193B420A" w14:textId="77777777" w:rsidR="00C51803" w:rsidRPr="00C51803" w:rsidRDefault="00C51803" w:rsidP="00C51803">
            <w:pPr>
              <w:pStyle w:val="Standard"/>
              <w:jc w:val="both"/>
              <w:rPr>
                <w:sz w:val="22"/>
              </w:rPr>
            </w:pPr>
          </w:p>
          <w:p w14:paraId="11614085" w14:textId="6A353317" w:rsidR="00C51803" w:rsidRPr="00C51803" w:rsidRDefault="00C51803" w:rsidP="00C51803">
            <w:pPr>
              <w:pStyle w:val="Standard"/>
              <w:jc w:val="both"/>
              <w:rPr>
                <w:sz w:val="22"/>
              </w:rPr>
            </w:pPr>
            <w:r w:rsidRPr="00C51803">
              <w:rPr>
                <w:sz w:val="22"/>
              </w:rPr>
              <w:t>Papildināts ar specifisko atbilstības kritēriju:</w:t>
            </w:r>
            <w:r w:rsidR="00D217AD">
              <w:rPr>
                <w:sz w:val="22"/>
              </w:rPr>
              <w:t xml:space="preserve"> </w:t>
            </w:r>
            <w:r w:rsidRPr="00C51803">
              <w:rPr>
                <w:sz w:val="22"/>
              </w:rPr>
              <w:t xml:space="preserve">“Projekta iesniedzējam uz projekta iesniegšanas dienu ir apstiprināta organizācijas darbības stratēģija (ja iesniedzējs ir pašvaldība – teritorijas attīstības plānošanas dokuments), kurā </w:t>
            </w:r>
            <w:r w:rsidRPr="00C51803">
              <w:rPr>
                <w:sz w:val="22"/>
              </w:rPr>
              <w:lastRenderedPageBreak/>
              <w:t>noteikti vidēja termiņa darbības mērķi, kas liecina par sabiedrības ieguvumiem no projektā attīstītajiem pakalpojumiem, paredz veicināt kultūras pakalpojumu pieejamību, tostarp attīstot pakalpojumus vismaz divām dažādām sociāli mazaizsargāto iedzīvotāju grupām.”</w:t>
            </w:r>
          </w:p>
          <w:p w14:paraId="5AF4DB59" w14:textId="77777777" w:rsidR="00C51803" w:rsidRPr="00C51803" w:rsidRDefault="00C51803" w:rsidP="00C51803">
            <w:pPr>
              <w:pStyle w:val="Standard"/>
              <w:jc w:val="both"/>
              <w:rPr>
                <w:sz w:val="22"/>
              </w:rPr>
            </w:pPr>
          </w:p>
          <w:p w14:paraId="7E8FC589" w14:textId="77777777" w:rsidR="00C51803" w:rsidRPr="00C51803" w:rsidRDefault="00C51803" w:rsidP="00C51803">
            <w:pPr>
              <w:pStyle w:val="Standard"/>
              <w:jc w:val="both"/>
              <w:rPr>
                <w:sz w:val="22"/>
              </w:rPr>
            </w:pPr>
          </w:p>
          <w:p w14:paraId="294EE7C2" w14:textId="6C9A21A9" w:rsidR="00C51803" w:rsidRPr="000054D9" w:rsidRDefault="00C51803" w:rsidP="00C51803">
            <w:pPr>
              <w:pStyle w:val="Standard"/>
              <w:jc w:val="both"/>
              <w:rPr>
                <w:rFonts w:cs="Times New Roman"/>
                <w:sz w:val="22"/>
              </w:rPr>
            </w:pPr>
            <w:r w:rsidRPr="00C51803">
              <w:rPr>
                <w:sz w:val="22"/>
              </w:rPr>
              <w:t>Papildināts, nosakot, ka vērtēšanas komisijas ietvaros atzinumu par stratēģiju sniedz KM pārstāvis.</w:t>
            </w:r>
          </w:p>
        </w:tc>
        <w:tc>
          <w:tcPr>
            <w:tcW w:w="2790" w:type="dxa"/>
          </w:tcPr>
          <w:p w14:paraId="531DD7B0" w14:textId="77777777" w:rsidR="00C51803" w:rsidRPr="000054D9" w:rsidRDefault="00C51803" w:rsidP="00173383">
            <w:pPr>
              <w:pStyle w:val="Standard"/>
              <w:jc w:val="both"/>
              <w:rPr>
                <w:rFonts w:cs="Times New Roman"/>
                <w:sz w:val="22"/>
              </w:rPr>
            </w:pPr>
          </w:p>
        </w:tc>
      </w:tr>
      <w:tr w:rsidR="00C51803" w:rsidRPr="000054D9" w14:paraId="55CCD9C1" w14:textId="77777777" w:rsidTr="6692F8A4">
        <w:tc>
          <w:tcPr>
            <w:tcW w:w="562" w:type="dxa"/>
          </w:tcPr>
          <w:p w14:paraId="3F705F7A" w14:textId="77777777" w:rsidR="00C51803" w:rsidRPr="000054D9" w:rsidRDefault="00C51803" w:rsidP="00173383">
            <w:pPr>
              <w:pStyle w:val="Standard"/>
              <w:numPr>
                <w:ilvl w:val="0"/>
                <w:numId w:val="13"/>
              </w:numPr>
              <w:ind w:hanging="1049"/>
              <w:jc w:val="center"/>
              <w:rPr>
                <w:rFonts w:cs="Times New Roman"/>
                <w:b/>
                <w:bCs/>
                <w:sz w:val="22"/>
              </w:rPr>
            </w:pPr>
          </w:p>
        </w:tc>
        <w:tc>
          <w:tcPr>
            <w:tcW w:w="3119" w:type="dxa"/>
          </w:tcPr>
          <w:p w14:paraId="550BB3B2" w14:textId="101D143A" w:rsidR="00C51803" w:rsidRPr="000054D9" w:rsidRDefault="00C51803" w:rsidP="00173383">
            <w:pPr>
              <w:pStyle w:val="Standard"/>
              <w:jc w:val="both"/>
              <w:rPr>
                <w:rFonts w:cs="Times New Roman"/>
                <w:b/>
                <w:bCs/>
                <w:sz w:val="22"/>
              </w:rPr>
            </w:pPr>
            <w:r>
              <w:rPr>
                <w:rFonts w:cs="Times New Roman"/>
                <w:b/>
                <w:bCs/>
                <w:sz w:val="22"/>
              </w:rPr>
              <w:t>Kritērijs Nr. 4.3.</w:t>
            </w:r>
          </w:p>
        </w:tc>
        <w:tc>
          <w:tcPr>
            <w:tcW w:w="4687" w:type="dxa"/>
          </w:tcPr>
          <w:p w14:paraId="61730B80" w14:textId="77777777" w:rsidR="00C51803" w:rsidRPr="00967E90" w:rsidRDefault="00C51803" w:rsidP="00173383">
            <w:pPr>
              <w:pStyle w:val="Standard"/>
              <w:jc w:val="both"/>
              <w:rPr>
                <w:rFonts w:cs="Times New Roman"/>
                <w:b/>
                <w:bCs/>
                <w:sz w:val="22"/>
              </w:rPr>
            </w:pPr>
            <w:r w:rsidRPr="00967E90">
              <w:rPr>
                <w:rFonts w:cs="Times New Roman"/>
                <w:b/>
                <w:bCs/>
                <w:sz w:val="22"/>
              </w:rPr>
              <w:t>Centrālā finanšu un līgumu aģentūra</w:t>
            </w:r>
          </w:p>
          <w:p w14:paraId="158D1A99" w14:textId="77777777" w:rsidR="00C51803" w:rsidRDefault="00C51803" w:rsidP="00173383">
            <w:pPr>
              <w:pStyle w:val="Standard"/>
              <w:jc w:val="both"/>
              <w:rPr>
                <w:rFonts w:cs="Times New Roman"/>
                <w:sz w:val="22"/>
              </w:rPr>
            </w:pPr>
          </w:p>
          <w:p w14:paraId="3CF98E7A" w14:textId="20AF2F48" w:rsidR="00C51803" w:rsidRPr="000054D9" w:rsidRDefault="00C51803" w:rsidP="00173383">
            <w:pPr>
              <w:pStyle w:val="Standard"/>
              <w:jc w:val="both"/>
              <w:rPr>
                <w:rFonts w:cs="Times New Roman"/>
                <w:sz w:val="22"/>
              </w:rPr>
            </w:pPr>
            <w:r w:rsidRPr="00967E90">
              <w:rPr>
                <w:rFonts w:cs="Times New Roman"/>
                <w:sz w:val="22"/>
              </w:rPr>
              <w:t xml:space="preserve">Aicinām apvienot kritērijus 4.1. un 4.3., </w:t>
            </w:r>
            <w:proofErr w:type="gramStart"/>
            <w:r w:rsidRPr="00967E90">
              <w:rPr>
                <w:rFonts w:cs="Times New Roman"/>
                <w:sz w:val="22"/>
              </w:rPr>
              <w:t>kas attiecas uz Organizācijas darbības stratēģiju</w:t>
            </w:r>
            <w:proofErr w:type="gramEnd"/>
            <w:r w:rsidRPr="00967E90">
              <w:rPr>
                <w:rFonts w:cs="Times New Roman"/>
                <w:sz w:val="22"/>
              </w:rPr>
              <w:t xml:space="preserve"> un pārcelt uz specifisko atbilstības kritēriju kopu, nosakot kā priekšnosacījumu projektu iesniegumu iesniegšanai.   Papildinot informāciju par to, ka</w:t>
            </w:r>
            <w:proofErr w:type="gramStart"/>
            <w:r w:rsidRPr="00967E90">
              <w:rPr>
                <w:rFonts w:cs="Times New Roman"/>
                <w:sz w:val="22"/>
              </w:rPr>
              <w:t xml:space="preserve">  </w:t>
            </w:r>
            <w:proofErr w:type="gramEnd"/>
            <w:r w:rsidRPr="00967E90">
              <w:rPr>
                <w:rFonts w:cs="Times New Roman"/>
                <w:sz w:val="22"/>
              </w:rPr>
              <w:t>Organizācijas darbības stratēģijai vai, gadījumā ja  iesniedzējs ir pašvaldība – teritorijas attīstības plānošanas dokumentam ir jābūt apstiprinātam uz projekta iesniegšanas dienu.  Organizācijas darbības stratēģijas atbilstības vērtēšana ir KM kompetence, tāpat kā pašvaldību teritorijas attīstības plānošanas dokumentu atbilstības noteikšana ir VARAM kompetencē, attiecīgi aicinām kritērija atbilstības vērtēšanai pieaicināt ekspertus no KM un VARAM.</w:t>
            </w:r>
          </w:p>
        </w:tc>
        <w:tc>
          <w:tcPr>
            <w:tcW w:w="2790" w:type="dxa"/>
            <w:vMerge/>
          </w:tcPr>
          <w:p w14:paraId="4CDBBDDA" w14:textId="77777777" w:rsidR="00C51803" w:rsidRPr="000054D9" w:rsidRDefault="00C51803" w:rsidP="00173383">
            <w:pPr>
              <w:pStyle w:val="Standard"/>
              <w:jc w:val="both"/>
              <w:rPr>
                <w:rFonts w:cs="Times New Roman"/>
                <w:sz w:val="22"/>
              </w:rPr>
            </w:pPr>
          </w:p>
        </w:tc>
        <w:tc>
          <w:tcPr>
            <w:tcW w:w="2790" w:type="dxa"/>
          </w:tcPr>
          <w:p w14:paraId="250F44BD" w14:textId="77777777" w:rsidR="00C51803" w:rsidRPr="000054D9" w:rsidRDefault="00C51803" w:rsidP="00173383">
            <w:pPr>
              <w:pStyle w:val="Standard"/>
              <w:jc w:val="both"/>
              <w:rPr>
                <w:rFonts w:cs="Times New Roman"/>
                <w:sz w:val="22"/>
              </w:rPr>
            </w:pPr>
          </w:p>
        </w:tc>
      </w:tr>
      <w:tr w:rsidR="00173383" w:rsidRPr="000054D9" w14:paraId="152D4E3C" w14:textId="77777777" w:rsidTr="6692F8A4">
        <w:tc>
          <w:tcPr>
            <w:tcW w:w="562" w:type="dxa"/>
          </w:tcPr>
          <w:p w14:paraId="37DDAE40" w14:textId="77777777" w:rsidR="00173383" w:rsidRPr="000054D9" w:rsidRDefault="00173383" w:rsidP="00173383">
            <w:pPr>
              <w:pStyle w:val="Standard"/>
              <w:numPr>
                <w:ilvl w:val="0"/>
                <w:numId w:val="13"/>
              </w:numPr>
              <w:ind w:hanging="1049"/>
              <w:jc w:val="center"/>
              <w:rPr>
                <w:b/>
                <w:bCs/>
                <w:sz w:val="22"/>
              </w:rPr>
            </w:pPr>
          </w:p>
        </w:tc>
        <w:tc>
          <w:tcPr>
            <w:tcW w:w="3119" w:type="dxa"/>
          </w:tcPr>
          <w:p w14:paraId="4E729C13" w14:textId="352A81B3" w:rsidR="00173383" w:rsidRDefault="00173383" w:rsidP="00173383">
            <w:pPr>
              <w:pStyle w:val="Standard"/>
              <w:jc w:val="both"/>
              <w:rPr>
                <w:b/>
                <w:bCs/>
                <w:sz w:val="22"/>
              </w:rPr>
            </w:pPr>
            <w:r>
              <w:rPr>
                <w:rFonts w:cs="Times New Roman"/>
                <w:b/>
                <w:bCs/>
                <w:sz w:val="22"/>
              </w:rPr>
              <w:t>Kritērijs Nr. 4.4.</w:t>
            </w:r>
          </w:p>
        </w:tc>
        <w:tc>
          <w:tcPr>
            <w:tcW w:w="4687" w:type="dxa"/>
          </w:tcPr>
          <w:p w14:paraId="5716F923" w14:textId="77777777" w:rsidR="00173383" w:rsidRPr="00967E90" w:rsidRDefault="00173383" w:rsidP="00173383">
            <w:pPr>
              <w:pStyle w:val="Standard"/>
              <w:jc w:val="both"/>
              <w:rPr>
                <w:rFonts w:cs="Times New Roman"/>
                <w:b/>
                <w:bCs/>
                <w:sz w:val="22"/>
              </w:rPr>
            </w:pPr>
            <w:r w:rsidRPr="00967E90">
              <w:rPr>
                <w:rFonts w:cs="Times New Roman"/>
                <w:b/>
                <w:bCs/>
                <w:sz w:val="22"/>
              </w:rPr>
              <w:t>Centrālā finanšu un līgumu aģentūra</w:t>
            </w:r>
          </w:p>
          <w:p w14:paraId="276088AF" w14:textId="77777777" w:rsidR="00173383" w:rsidRDefault="00173383" w:rsidP="00173383">
            <w:pPr>
              <w:pStyle w:val="Standard"/>
              <w:jc w:val="both"/>
              <w:rPr>
                <w:rFonts w:cs="Times New Roman"/>
                <w:sz w:val="22"/>
              </w:rPr>
            </w:pPr>
          </w:p>
          <w:p w14:paraId="1DDA620A" w14:textId="4CB97731" w:rsidR="00173383" w:rsidRPr="00967E90" w:rsidRDefault="00173383" w:rsidP="22CBFB20">
            <w:pPr>
              <w:pStyle w:val="Standard"/>
              <w:jc w:val="both"/>
              <w:rPr>
                <w:sz w:val="22"/>
              </w:rPr>
            </w:pPr>
            <w:r w:rsidRPr="22CBFB20">
              <w:rPr>
                <w:sz w:val="22"/>
              </w:rPr>
              <w:t>Lūdzam izvērtēt</w:t>
            </w:r>
            <w:proofErr w:type="gramStart"/>
            <w:r w:rsidRPr="22CBFB20">
              <w:rPr>
                <w:sz w:val="22"/>
              </w:rPr>
              <w:t xml:space="preserve"> vai kritērijs nepārklājas</w:t>
            </w:r>
            <w:proofErr w:type="gramEnd"/>
            <w:r w:rsidRPr="22CBFB20">
              <w:rPr>
                <w:sz w:val="22"/>
              </w:rPr>
              <w:t xml:space="preserve"> ar 4.7. kritēriju par HP VINPI izvērtēšanu.</w:t>
            </w:r>
          </w:p>
        </w:tc>
        <w:tc>
          <w:tcPr>
            <w:tcW w:w="2790" w:type="dxa"/>
          </w:tcPr>
          <w:p w14:paraId="7F41E08E" w14:textId="78445412" w:rsidR="580BF125" w:rsidRDefault="580BF125" w:rsidP="6692F8A4">
            <w:pPr>
              <w:pStyle w:val="Standard"/>
              <w:jc w:val="both"/>
              <w:rPr>
                <w:b/>
                <w:bCs/>
                <w:sz w:val="22"/>
              </w:rPr>
            </w:pPr>
            <w:r w:rsidRPr="6692F8A4">
              <w:rPr>
                <w:b/>
                <w:bCs/>
                <w:sz w:val="22"/>
              </w:rPr>
              <w:t>Skaidrojam.</w:t>
            </w:r>
          </w:p>
          <w:p w14:paraId="1F7B0FB7" w14:textId="77777777" w:rsidR="00C058FD" w:rsidRDefault="00C058FD" w:rsidP="6692F8A4">
            <w:pPr>
              <w:pStyle w:val="Standard"/>
              <w:jc w:val="both"/>
              <w:rPr>
                <w:sz w:val="22"/>
              </w:rPr>
            </w:pPr>
          </w:p>
          <w:p w14:paraId="5DEFEB01" w14:textId="14236B6E" w:rsidR="00C058FD" w:rsidRPr="000054D9" w:rsidRDefault="00C058FD" w:rsidP="6692F8A4">
            <w:pPr>
              <w:pStyle w:val="Standard"/>
              <w:jc w:val="both"/>
              <w:rPr>
                <w:sz w:val="22"/>
              </w:rPr>
            </w:pPr>
            <w:r w:rsidRPr="6692F8A4">
              <w:rPr>
                <w:sz w:val="22"/>
              </w:rPr>
              <w:t>Skaidrojam, ka</w:t>
            </w:r>
            <w:r w:rsidR="2D0A723A" w:rsidRPr="6692F8A4">
              <w:rPr>
                <w:sz w:val="22"/>
              </w:rPr>
              <w:t>, tā kā HP VINPI paredz tikai darbību piemērus, kurus projekta iesniedzējs var arī neizvēlēties,</w:t>
            </w:r>
            <w:r w:rsidRPr="6692F8A4">
              <w:rPr>
                <w:sz w:val="22"/>
              </w:rPr>
              <w:t xml:space="preserve"> </w:t>
            </w:r>
            <w:r w:rsidR="14DDD546" w:rsidRPr="6692F8A4">
              <w:rPr>
                <w:sz w:val="22"/>
              </w:rPr>
              <w:t>4</w:t>
            </w:r>
            <w:r w:rsidR="0F3C9C40" w:rsidRPr="6692F8A4">
              <w:rPr>
                <w:sz w:val="22"/>
              </w:rPr>
              <w:t>.3.2.SAM ietvaros būtiski noteikt atsevišķu kvalitātes kritēriju, atbilstoši kuram vērtēt</w:t>
            </w:r>
            <w:r w:rsidR="6A5588D9" w:rsidRPr="6692F8A4">
              <w:rPr>
                <w:sz w:val="22"/>
              </w:rPr>
              <w:t xml:space="preserve"> </w:t>
            </w:r>
            <w:r w:rsidR="2B4F06B1" w:rsidRPr="6692F8A4">
              <w:rPr>
                <w:sz w:val="22"/>
              </w:rPr>
              <w:t xml:space="preserve">konkrētus </w:t>
            </w:r>
            <w:r w:rsidR="6A5588D9" w:rsidRPr="6692F8A4">
              <w:rPr>
                <w:sz w:val="22"/>
              </w:rPr>
              <w:t>vides pieejamības risinājumus.</w:t>
            </w:r>
          </w:p>
        </w:tc>
        <w:tc>
          <w:tcPr>
            <w:tcW w:w="2790" w:type="dxa"/>
          </w:tcPr>
          <w:p w14:paraId="5817693E" w14:textId="77777777" w:rsidR="00173383" w:rsidRPr="000054D9" w:rsidRDefault="00173383" w:rsidP="00173383">
            <w:pPr>
              <w:pStyle w:val="Standard"/>
              <w:jc w:val="both"/>
              <w:rPr>
                <w:sz w:val="22"/>
              </w:rPr>
            </w:pPr>
          </w:p>
        </w:tc>
      </w:tr>
      <w:tr w:rsidR="00173383" w:rsidRPr="000054D9" w14:paraId="24B8355B" w14:textId="77777777" w:rsidTr="6692F8A4">
        <w:tc>
          <w:tcPr>
            <w:tcW w:w="562" w:type="dxa"/>
          </w:tcPr>
          <w:p w14:paraId="21980CEB" w14:textId="77777777" w:rsidR="00173383" w:rsidRPr="000054D9" w:rsidRDefault="00173383" w:rsidP="00173383">
            <w:pPr>
              <w:pStyle w:val="Standard"/>
              <w:numPr>
                <w:ilvl w:val="0"/>
                <w:numId w:val="13"/>
              </w:numPr>
              <w:ind w:hanging="1049"/>
              <w:jc w:val="center"/>
              <w:rPr>
                <w:b/>
                <w:bCs/>
                <w:sz w:val="22"/>
              </w:rPr>
            </w:pPr>
          </w:p>
        </w:tc>
        <w:tc>
          <w:tcPr>
            <w:tcW w:w="3119" w:type="dxa"/>
          </w:tcPr>
          <w:p w14:paraId="61346258" w14:textId="63F03F24" w:rsidR="00173383" w:rsidRDefault="00173383" w:rsidP="00173383">
            <w:pPr>
              <w:pStyle w:val="Standard"/>
              <w:jc w:val="both"/>
              <w:rPr>
                <w:b/>
                <w:bCs/>
                <w:sz w:val="22"/>
              </w:rPr>
            </w:pPr>
            <w:r>
              <w:rPr>
                <w:rFonts w:cs="Times New Roman"/>
                <w:b/>
                <w:bCs/>
                <w:sz w:val="22"/>
              </w:rPr>
              <w:t>Kritērijs Nr. 4.6.</w:t>
            </w:r>
          </w:p>
        </w:tc>
        <w:tc>
          <w:tcPr>
            <w:tcW w:w="4687" w:type="dxa"/>
          </w:tcPr>
          <w:p w14:paraId="59DC0441" w14:textId="77777777" w:rsidR="00173383" w:rsidRPr="00967E90" w:rsidRDefault="00173383" w:rsidP="00173383">
            <w:pPr>
              <w:pStyle w:val="Standard"/>
              <w:jc w:val="both"/>
              <w:rPr>
                <w:rFonts w:cs="Times New Roman"/>
                <w:b/>
                <w:bCs/>
                <w:sz w:val="22"/>
              </w:rPr>
            </w:pPr>
            <w:r w:rsidRPr="00967E90">
              <w:rPr>
                <w:rFonts w:cs="Times New Roman"/>
                <w:b/>
                <w:bCs/>
                <w:sz w:val="22"/>
              </w:rPr>
              <w:t>Centrālā finanšu un līgumu aģentūra</w:t>
            </w:r>
          </w:p>
          <w:p w14:paraId="689C193D" w14:textId="77777777" w:rsidR="00173383" w:rsidRDefault="00173383" w:rsidP="00173383">
            <w:pPr>
              <w:pStyle w:val="Standard"/>
              <w:jc w:val="both"/>
              <w:rPr>
                <w:rFonts w:cs="Times New Roman"/>
                <w:sz w:val="22"/>
              </w:rPr>
            </w:pPr>
          </w:p>
          <w:p w14:paraId="31ADB50B" w14:textId="3152E1FE" w:rsidR="00173383" w:rsidRPr="00967E90" w:rsidRDefault="00173383" w:rsidP="22CBFB20">
            <w:pPr>
              <w:pStyle w:val="Standard"/>
              <w:jc w:val="both"/>
              <w:rPr>
                <w:sz w:val="22"/>
              </w:rPr>
            </w:pPr>
            <w:r w:rsidRPr="22CBFB20">
              <w:rPr>
                <w:sz w:val="22"/>
              </w:rPr>
              <w:t xml:space="preserve">Lūdzam </w:t>
            </w:r>
            <w:r w:rsidRPr="22CBFB20">
              <w:rPr>
                <w:b/>
                <w:bCs/>
                <w:sz w:val="22"/>
              </w:rPr>
              <w:t>precīzāk definēt</w:t>
            </w:r>
            <w:proofErr w:type="gramStart"/>
            <w:r w:rsidRPr="22CBFB20">
              <w:rPr>
                <w:b/>
                <w:bCs/>
                <w:sz w:val="22"/>
              </w:rPr>
              <w:t xml:space="preserve">  </w:t>
            </w:r>
            <w:proofErr w:type="gramEnd"/>
            <w:r w:rsidRPr="22CBFB20">
              <w:rPr>
                <w:b/>
                <w:bCs/>
                <w:sz w:val="22"/>
              </w:rPr>
              <w:t>zemāk uzskaitītos nosacījumus</w:t>
            </w:r>
            <w:r w:rsidRPr="22CBFB20">
              <w:rPr>
                <w:sz w:val="22"/>
              </w:rPr>
              <w:t xml:space="preserve"> (vai norādīt atsauces skaidrojumā, kur pieejama šāda informācija), ņemot vērā, ka tie var būt interpretējami - piemēram, kā izvērtēt vai tiek sniegts ieguldījums </w:t>
            </w:r>
            <w:r w:rsidRPr="22CBFB20">
              <w:rPr>
                <w:b/>
                <w:bCs/>
                <w:sz w:val="22"/>
              </w:rPr>
              <w:t xml:space="preserve">demokrātiskās domas </w:t>
            </w:r>
            <w:r w:rsidRPr="22CBFB20">
              <w:rPr>
                <w:b/>
                <w:bCs/>
                <w:sz w:val="22"/>
              </w:rPr>
              <w:lastRenderedPageBreak/>
              <w:t>attīstībā</w:t>
            </w:r>
            <w:r w:rsidRPr="22CBFB20">
              <w:rPr>
                <w:sz w:val="22"/>
              </w:rPr>
              <w:t xml:space="preserve">, kas ir domāts ar </w:t>
            </w:r>
            <w:r w:rsidRPr="22CBFB20">
              <w:rPr>
                <w:b/>
                <w:bCs/>
                <w:sz w:val="22"/>
              </w:rPr>
              <w:t>laikmetīgo kultūru</w:t>
            </w:r>
            <w:r w:rsidRPr="22CBFB20">
              <w:rPr>
                <w:sz w:val="22"/>
              </w:rPr>
              <w:t xml:space="preserve">, kas tieši domāts ar nosacījumu ietver </w:t>
            </w:r>
            <w:r w:rsidRPr="22CBFB20">
              <w:rPr>
                <w:b/>
                <w:bCs/>
                <w:sz w:val="22"/>
              </w:rPr>
              <w:t>jaunās tehnoloģijas</w:t>
            </w:r>
            <w:r w:rsidRPr="22CBFB20">
              <w:rPr>
                <w:sz w:val="22"/>
              </w:rPr>
              <w:t>)</w:t>
            </w:r>
          </w:p>
        </w:tc>
        <w:tc>
          <w:tcPr>
            <w:tcW w:w="2790" w:type="dxa"/>
          </w:tcPr>
          <w:p w14:paraId="3BEE6056" w14:textId="77777777" w:rsidR="00173383" w:rsidRDefault="54DFC280" w:rsidP="22CBFB20">
            <w:pPr>
              <w:pStyle w:val="Standard"/>
              <w:jc w:val="both"/>
              <w:rPr>
                <w:rFonts w:eastAsia="Times New Roman" w:cs="Times New Roman"/>
                <w:b/>
                <w:bCs/>
                <w:sz w:val="22"/>
              </w:rPr>
            </w:pPr>
            <w:r w:rsidRPr="22CBFB20">
              <w:rPr>
                <w:rFonts w:eastAsia="Times New Roman" w:cs="Times New Roman"/>
                <w:b/>
                <w:bCs/>
                <w:sz w:val="22"/>
              </w:rPr>
              <w:lastRenderedPageBreak/>
              <w:t>Ņemts vērā</w:t>
            </w:r>
          </w:p>
          <w:p w14:paraId="6CE369F1" w14:textId="77777777" w:rsidR="002B32B8" w:rsidRDefault="002B32B8" w:rsidP="22CBFB20">
            <w:pPr>
              <w:pStyle w:val="Standard"/>
              <w:jc w:val="both"/>
              <w:rPr>
                <w:sz w:val="22"/>
              </w:rPr>
            </w:pPr>
          </w:p>
          <w:p w14:paraId="70073020" w14:textId="79AA62FE" w:rsidR="002B32B8" w:rsidRPr="000054D9" w:rsidRDefault="002B32B8" w:rsidP="22CBFB20">
            <w:pPr>
              <w:pStyle w:val="Standard"/>
              <w:jc w:val="both"/>
            </w:pPr>
            <w:r>
              <w:rPr>
                <w:sz w:val="22"/>
              </w:rPr>
              <w:t xml:space="preserve">Papildināts ar skaidrojumiem, papildus termins </w:t>
            </w:r>
            <w:r w:rsidR="00D217AD">
              <w:rPr>
                <w:sz w:val="22"/>
              </w:rPr>
              <w:t>“</w:t>
            </w:r>
            <w:r>
              <w:rPr>
                <w:sz w:val="22"/>
              </w:rPr>
              <w:t>jaunās tehnoloģijas” precizēts uz “</w:t>
            </w:r>
            <w:proofErr w:type="gramStart"/>
            <w:r>
              <w:rPr>
                <w:sz w:val="22"/>
              </w:rPr>
              <w:t>informāciju tehnoloģijas</w:t>
            </w:r>
            <w:proofErr w:type="gramEnd"/>
            <w:r w:rsidR="00A11DBD">
              <w:rPr>
                <w:sz w:val="22"/>
              </w:rPr>
              <w:t>”</w:t>
            </w:r>
            <w:r>
              <w:rPr>
                <w:sz w:val="22"/>
              </w:rPr>
              <w:t>.</w:t>
            </w:r>
          </w:p>
        </w:tc>
        <w:tc>
          <w:tcPr>
            <w:tcW w:w="2790" w:type="dxa"/>
          </w:tcPr>
          <w:p w14:paraId="105C17D7" w14:textId="77777777" w:rsidR="00D217AD" w:rsidRPr="00D217AD" w:rsidRDefault="00D217AD" w:rsidP="00D217AD">
            <w:pPr>
              <w:jc w:val="both"/>
              <w:rPr>
                <w:rFonts w:cs="Times New Roman"/>
                <w:sz w:val="22"/>
              </w:rPr>
            </w:pPr>
            <w:r w:rsidRPr="00D217AD">
              <w:rPr>
                <w:rFonts w:cs="Times New Roman"/>
                <w:b/>
                <w:bCs/>
                <w:sz w:val="22"/>
              </w:rPr>
              <w:t>Ar laikmetīgās kultūras produktiem</w:t>
            </w:r>
            <w:r w:rsidRPr="00D217AD">
              <w:rPr>
                <w:rFonts w:cs="Times New Roman"/>
                <w:sz w:val="22"/>
              </w:rPr>
              <w:t xml:space="preserve"> 4.3.2.SAM ietvaros tiek saprasti tādi kultūras un mākslas produkti, kas laikmetam atbilstoši veicina kultūras izpratni, līdzpārdzīvojumu un kritisko </w:t>
            </w:r>
            <w:r w:rsidRPr="00D217AD">
              <w:rPr>
                <w:rFonts w:cs="Times New Roman"/>
                <w:sz w:val="22"/>
              </w:rPr>
              <w:lastRenderedPageBreak/>
              <w:t>domāšanu, dod iespēju interpretēt mākslas un kultūras produktu, ietver aktuālas tēmas, runā par sabiedrībai svarīgiem kopīgiem uzskatiem un vērtībām.</w:t>
            </w:r>
          </w:p>
          <w:p w14:paraId="15813816" w14:textId="56AA55B6" w:rsidR="00173383" w:rsidRPr="000054D9" w:rsidRDefault="54DFC280" w:rsidP="22CBFB20">
            <w:pPr>
              <w:jc w:val="both"/>
            </w:pPr>
            <w:r w:rsidRPr="22CBFB20">
              <w:rPr>
                <w:rFonts w:eastAsia="Times New Roman" w:cs="Times New Roman"/>
                <w:szCs w:val="24"/>
              </w:rPr>
              <w:t xml:space="preserve"> </w:t>
            </w:r>
          </w:p>
          <w:p w14:paraId="5ECE2041" w14:textId="448FE8BD" w:rsidR="00173383" w:rsidRPr="000054D9" w:rsidRDefault="00D217AD" w:rsidP="00D217AD">
            <w:pPr>
              <w:jc w:val="both"/>
              <w:rPr>
                <w:sz w:val="22"/>
              </w:rPr>
            </w:pPr>
            <w:r w:rsidRPr="00D217AD">
              <w:rPr>
                <w:rFonts w:cs="Times New Roman"/>
                <w:b/>
                <w:bCs/>
                <w:sz w:val="22"/>
              </w:rPr>
              <w:t>Ar ieguldījumu demokrātiskās domas attīstībā</w:t>
            </w:r>
            <w:r w:rsidRPr="00D217AD">
              <w:rPr>
                <w:rFonts w:cs="Times New Roman"/>
                <w:sz w:val="22"/>
              </w:rPr>
              <w:t xml:space="preserve"> 4.3.2.SAM ietvaros saprotams projekta ieguldījums, lai kultūras norišu vietu kalpotu par satikšanās un debašu vietu par sabiedrībā nozīmīgiem jautājumiem, mazina polarizāciju, veicina iedzīvotāju iesaisti, arī atbildības uzņemšanos par procesiem sabiedrībā, tai skaitā sabiedrības noturības stiprināšanā.</w:t>
            </w:r>
          </w:p>
        </w:tc>
      </w:tr>
      <w:tr w:rsidR="00173383" w:rsidRPr="000054D9" w14:paraId="34C5D517" w14:textId="77777777" w:rsidTr="6692F8A4">
        <w:tc>
          <w:tcPr>
            <w:tcW w:w="562" w:type="dxa"/>
          </w:tcPr>
          <w:p w14:paraId="5B705207" w14:textId="77777777" w:rsidR="00173383" w:rsidRPr="000054D9" w:rsidRDefault="00173383" w:rsidP="00173383">
            <w:pPr>
              <w:pStyle w:val="Standard"/>
              <w:numPr>
                <w:ilvl w:val="0"/>
                <w:numId w:val="13"/>
              </w:numPr>
              <w:ind w:hanging="1049"/>
              <w:jc w:val="center"/>
              <w:rPr>
                <w:rFonts w:cs="Times New Roman"/>
                <w:b/>
                <w:bCs/>
                <w:sz w:val="22"/>
              </w:rPr>
            </w:pPr>
          </w:p>
        </w:tc>
        <w:tc>
          <w:tcPr>
            <w:tcW w:w="3119" w:type="dxa"/>
            <w:vMerge w:val="restart"/>
          </w:tcPr>
          <w:p w14:paraId="7F07ABCF" w14:textId="65A2F75D" w:rsidR="00173383" w:rsidRPr="000054D9" w:rsidRDefault="00173383" w:rsidP="00173383">
            <w:pPr>
              <w:pStyle w:val="Standard"/>
              <w:jc w:val="both"/>
              <w:rPr>
                <w:rFonts w:cs="Times New Roman"/>
                <w:b/>
                <w:bCs/>
                <w:sz w:val="22"/>
              </w:rPr>
            </w:pPr>
            <w:r>
              <w:rPr>
                <w:rFonts w:cs="Times New Roman"/>
                <w:b/>
                <w:bCs/>
                <w:sz w:val="22"/>
              </w:rPr>
              <w:t>Kritērijs Nr. 4.7.</w:t>
            </w:r>
          </w:p>
        </w:tc>
        <w:tc>
          <w:tcPr>
            <w:tcW w:w="4687" w:type="dxa"/>
          </w:tcPr>
          <w:p w14:paraId="6A5122B3" w14:textId="77777777" w:rsidR="00173383" w:rsidRPr="001964AF" w:rsidRDefault="00173383" w:rsidP="00173383">
            <w:pPr>
              <w:pStyle w:val="Standard"/>
              <w:jc w:val="both"/>
              <w:rPr>
                <w:rFonts w:cs="Times New Roman"/>
                <w:b/>
                <w:bCs/>
                <w:sz w:val="22"/>
              </w:rPr>
            </w:pPr>
            <w:r w:rsidRPr="001964AF">
              <w:rPr>
                <w:rFonts w:cs="Times New Roman"/>
                <w:b/>
                <w:bCs/>
                <w:sz w:val="22"/>
              </w:rPr>
              <w:t>Labklājības ministrija HP</w:t>
            </w:r>
          </w:p>
          <w:p w14:paraId="12060124" w14:textId="77777777" w:rsidR="00173383" w:rsidRDefault="00173383" w:rsidP="00173383">
            <w:pPr>
              <w:pStyle w:val="Standard"/>
              <w:jc w:val="both"/>
              <w:rPr>
                <w:rFonts w:cs="Times New Roman"/>
                <w:sz w:val="22"/>
              </w:rPr>
            </w:pPr>
          </w:p>
          <w:p w14:paraId="204632C4" w14:textId="188286AD" w:rsidR="00173383" w:rsidRPr="001964AF" w:rsidRDefault="00173383" w:rsidP="00173383">
            <w:pPr>
              <w:pStyle w:val="Standard"/>
              <w:jc w:val="both"/>
              <w:rPr>
                <w:sz w:val="22"/>
              </w:rPr>
            </w:pPr>
            <w:r>
              <w:rPr>
                <w:sz w:val="22"/>
              </w:rPr>
              <w:t>L</w:t>
            </w:r>
            <w:r w:rsidRPr="001964AF">
              <w:rPr>
                <w:sz w:val="22"/>
              </w:rPr>
              <w:t>ūdzam kritēriju metodikas skaidrojumu papildināt ar sekojošiem specifisko darbību piemēriem, kas izriet no pasākuma satura (materiālajiem ieguldījumiem):</w:t>
            </w:r>
          </w:p>
          <w:p w14:paraId="401650AF" w14:textId="77777777" w:rsidR="00173383" w:rsidRPr="001964AF" w:rsidRDefault="00173383" w:rsidP="00173383">
            <w:pPr>
              <w:pStyle w:val="Standard"/>
              <w:jc w:val="both"/>
              <w:rPr>
                <w:sz w:val="22"/>
              </w:rPr>
            </w:pPr>
            <w:r w:rsidRPr="001964AF">
              <w:rPr>
                <w:sz w:val="22"/>
              </w:rPr>
              <w:t>•</w:t>
            </w:r>
            <w:r w:rsidRPr="001964AF">
              <w:rPr>
                <w:sz w:val="22"/>
              </w:rPr>
              <w:tab/>
              <w:t>tiks nodrošināts, ka konkrētajai videi/objektam/pasākuma norises vietai ir iespēja fiziski piekļūt un to izmantot cilvēkiem ar dažādiem funkcionāliem traucējumiem gan kā pasākuma skatītājiem, gan kā dalībniekiem;</w:t>
            </w:r>
          </w:p>
          <w:p w14:paraId="1C882652" w14:textId="33222E5B" w:rsidR="00173383" w:rsidRDefault="00173383" w:rsidP="00173383">
            <w:pPr>
              <w:pStyle w:val="Standard"/>
              <w:jc w:val="both"/>
              <w:rPr>
                <w:rFonts w:cs="Times New Roman"/>
                <w:sz w:val="22"/>
              </w:rPr>
            </w:pPr>
            <w:r w:rsidRPr="001964AF">
              <w:rPr>
                <w:sz w:val="22"/>
              </w:rPr>
              <w:t>•</w:t>
            </w:r>
            <w:r w:rsidRPr="001964AF">
              <w:rPr>
                <w:sz w:val="22"/>
              </w:rPr>
              <w:tab/>
              <w:t xml:space="preserve">pasākumu organizators nodrošinās un pasākuma aprakstā norādīs, ka pasākums būs piekļūstams cilvēkiem ar dažāda veida </w:t>
            </w:r>
            <w:r w:rsidRPr="001964AF">
              <w:rPr>
                <w:sz w:val="22"/>
              </w:rPr>
              <w:lastRenderedPageBreak/>
              <w:t>funkcionāliem traucējumiem, it sevišķi cilvēkiem ratiņkrēslos.</w:t>
            </w:r>
          </w:p>
          <w:p w14:paraId="64571929" w14:textId="23EE2E79" w:rsidR="00173383" w:rsidRPr="000054D9" w:rsidRDefault="00173383" w:rsidP="00173383">
            <w:pPr>
              <w:pStyle w:val="Standard"/>
              <w:jc w:val="both"/>
              <w:rPr>
                <w:rFonts w:cs="Times New Roman"/>
                <w:sz w:val="22"/>
              </w:rPr>
            </w:pPr>
          </w:p>
        </w:tc>
        <w:tc>
          <w:tcPr>
            <w:tcW w:w="2790" w:type="dxa"/>
          </w:tcPr>
          <w:p w14:paraId="1B744090" w14:textId="77777777" w:rsidR="004C5243" w:rsidRDefault="004C5243" w:rsidP="004C5243">
            <w:pPr>
              <w:pStyle w:val="Standard"/>
              <w:jc w:val="both"/>
              <w:rPr>
                <w:b/>
                <w:bCs/>
                <w:sz w:val="22"/>
              </w:rPr>
            </w:pPr>
            <w:r w:rsidRPr="00AA7DB5">
              <w:rPr>
                <w:b/>
                <w:bCs/>
                <w:sz w:val="22"/>
              </w:rPr>
              <w:lastRenderedPageBreak/>
              <w:t>Ņemts vērā</w:t>
            </w:r>
          </w:p>
          <w:p w14:paraId="42A2D36B" w14:textId="77777777" w:rsidR="00173383" w:rsidRDefault="00173383" w:rsidP="00173383">
            <w:pPr>
              <w:pStyle w:val="Standard"/>
              <w:jc w:val="both"/>
              <w:rPr>
                <w:rFonts w:cs="Times New Roman"/>
                <w:sz w:val="22"/>
              </w:rPr>
            </w:pPr>
          </w:p>
          <w:p w14:paraId="7C6D288F" w14:textId="52931A1D" w:rsidR="004C5243" w:rsidRPr="000054D9" w:rsidRDefault="004C5243" w:rsidP="00173383">
            <w:pPr>
              <w:pStyle w:val="Standard"/>
              <w:jc w:val="both"/>
              <w:rPr>
                <w:rFonts w:cs="Times New Roman"/>
                <w:sz w:val="22"/>
              </w:rPr>
            </w:pPr>
            <w:r>
              <w:rPr>
                <w:rFonts w:cs="Times New Roman"/>
                <w:sz w:val="22"/>
              </w:rPr>
              <w:t>Atbilstoši papildināta</w:t>
            </w:r>
            <w:r w:rsidRPr="00E66B79">
              <w:rPr>
                <w:rFonts w:cs="Times New Roman"/>
                <w:sz w:val="22"/>
              </w:rPr>
              <w:t xml:space="preserve"> </w:t>
            </w:r>
            <w:r>
              <w:rPr>
                <w:rFonts w:cs="Times New Roman"/>
                <w:sz w:val="22"/>
              </w:rPr>
              <w:t>kritērija Nr. 4</w:t>
            </w:r>
            <w:r w:rsidRPr="00E66B79">
              <w:rPr>
                <w:rFonts w:cs="Times New Roman"/>
                <w:sz w:val="22"/>
              </w:rPr>
              <w:t>.</w:t>
            </w:r>
            <w:r>
              <w:rPr>
                <w:rFonts w:cs="Times New Roman"/>
                <w:sz w:val="22"/>
              </w:rPr>
              <w:t>7</w:t>
            </w:r>
            <w:r w:rsidRPr="00E66B79">
              <w:rPr>
                <w:rFonts w:cs="Times New Roman"/>
                <w:sz w:val="22"/>
              </w:rPr>
              <w:t>.</w:t>
            </w:r>
            <w:r>
              <w:rPr>
                <w:rFonts w:cs="Times New Roman"/>
                <w:sz w:val="22"/>
              </w:rPr>
              <w:t xml:space="preserve"> </w:t>
            </w:r>
            <w:r w:rsidRPr="00E66B79">
              <w:rPr>
                <w:rFonts w:cs="Times New Roman"/>
                <w:sz w:val="22"/>
              </w:rPr>
              <w:t>piemērošanas metodika</w:t>
            </w:r>
            <w:r w:rsidR="007543B2">
              <w:rPr>
                <w:rFonts w:cs="Times New Roman"/>
                <w:sz w:val="22"/>
              </w:rPr>
              <w:t>.</w:t>
            </w:r>
          </w:p>
        </w:tc>
        <w:tc>
          <w:tcPr>
            <w:tcW w:w="2790" w:type="dxa"/>
          </w:tcPr>
          <w:p w14:paraId="02BA0105" w14:textId="77777777" w:rsidR="00173383" w:rsidRPr="000054D9" w:rsidRDefault="00173383" w:rsidP="00173383">
            <w:pPr>
              <w:pStyle w:val="Standard"/>
              <w:jc w:val="both"/>
              <w:rPr>
                <w:rFonts w:cs="Times New Roman"/>
                <w:sz w:val="22"/>
              </w:rPr>
            </w:pPr>
          </w:p>
        </w:tc>
      </w:tr>
      <w:tr w:rsidR="00173383" w:rsidRPr="000054D9" w14:paraId="5089AEA0" w14:textId="77777777" w:rsidTr="6692F8A4">
        <w:tc>
          <w:tcPr>
            <w:tcW w:w="562" w:type="dxa"/>
          </w:tcPr>
          <w:p w14:paraId="70E62585" w14:textId="77777777" w:rsidR="00173383" w:rsidRPr="000054D9" w:rsidRDefault="00173383" w:rsidP="00173383">
            <w:pPr>
              <w:pStyle w:val="Standard"/>
              <w:numPr>
                <w:ilvl w:val="0"/>
                <w:numId w:val="13"/>
              </w:numPr>
              <w:ind w:hanging="1049"/>
              <w:jc w:val="center"/>
              <w:rPr>
                <w:b/>
                <w:bCs/>
                <w:sz w:val="22"/>
              </w:rPr>
            </w:pPr>
          </w:p>
        </w:tc>
        <w:tc>
          <w:tcPr>
            <w:tcW w:w="3119" w:type="dxa"/>
            <w:vMerge/>
          </w:tcPr>
          <w:p w14:paraId="483A6404" w14:textId="77777777" w:rsidR="00173383" w:rsidRDefault="00173383" w:rsidP="00173383">
            <w:pPr>
              <w:pStyle w:val="Standard"/>
              <w:jc w:val="both"/>
              <w:rPr>
                <w:b/>
                <w:bCs/>
                <w:sz w:val="22"/>
              </w:rPr>
            </w:pPr>
          </w:p>
        </w:tc>
        <w:tc>
          <w:tcPr>
            <w:tcW w:w="4687" w:type="dxa"/>
          </w:tcPr>
          <w:p w14:paraId="62754FF8" w14:textId="77777777" w:rsidR="00173383" w:rsidRPr="001964AF" w:rsidRDefault="00173383" w:rsidP="00173383">
            <w:pPr>
              <w:pStyle w:val="Standard"/>
              <w:jc w:val="both"/>
              <w:rPr>
                <w:rFonts w:cs="Times New Roman"/>
                <w:b/>
                <w:bCs/>
                <w:sz w:val="22"/>
              </w:rPr>
            </w:pPr>
            <w:r w:rsidRPr="001964AF">
              <w:rPr>
                <w:rFonts w:cs="Times New Roman"/>
                <w:b/>
                <w:bCs/>
                <w:sz w:val="22"/>
              </w:rPr>
              <w:t>Labklājības ministrija HP</w:t>
            </w:r>
          </w:p>
          <w:p w14:paraId="024F2795" w14:textId="77777777" w:rsidR="00173383" w:rsidRDefault="00173383" w:rsidP="00173383">
            <w:pPr>
              <w:pStyle w:val="Standard"/>
              <w:jc w:val="both"/>
              <w:rPr>
                <w:sz w:val="22"/>
              </w:rPr>
            </w:pPr>
          </w:p>
          <w:p w14:paraId="73EA82B0" w14:textId="22A07FAF" w:rsidR="00173383" w:rsidRPr="001964AF" w:rsidRDefault="00173383" w:rsidP="00173383">
            <w:pPr>
              <w:pStyle w:val="Standard"/>
              <w:jc w:val="both"/>
              <w:rPr>
                <w:sz w:val="22"/>
              </w:rPr>
            </w:pPr>
            <w:r>
              <w:rPr>
                <w:sz w:val="22"/>
              </w:rPr>
              <w:t>P</w:t>
            </w:r>
            <w:r w:rsidRPr="001964AF">
              <w:rPr>
                <w:sz w:val="22"/>
              </w:rPr>
              <w:t>apildus lūdzam kritēriju metodikas skaidrojumu papildināt ar sekojošiem specifisko darbību piemēriem, kas attiecas uz</w:t>
            </w:r>
            <w:proofErr w:type="gramStart"/>
            <w:r w:rsidRPr="001964AF">
              <w:rPr>
                <w:sz w:val="22"/>
              </w:rPr>
              <w:t xml:space="preserve">  </w:t>
            </w:r>
            <w:proofErr w:type="gramEnd"/>
            <w:r w:rsidRPr="001964AF">
              <w:rPr>
                <w:sz w:val="22"/>
              </w:rPr>
              <w:t>profesionālo kompetenču pilnveidošanu (nemateriālajiem ieguldījumiem):</w:t>
            </w:r>
          </w:p>
          <w:p w14:paraId="06A49CD7" w14:textId="77777777" w:rsidR="00173383" w:rsidRPr="001964AF" w:rsidRDefault="00173383" w:rsidP="00173383">
            <w:pPr>
              <w:pStyle w:val="Standard"/>
              <w:jc w:val="both"/>
              <w:rPr>
                <w:sz w:val="22"/>
              </w:rPr>
            </w:pPr>
            <w:r w:rsidRPr="001964AF">
              <w:rPr>
                <w:sz w:val="22"/>
              </w:rPr>
              <w:t>•</w:t>
            </w:r>
            <w:r w:rsidRPr="001964AF">
              <w:rPr>
                <w:sz w:val="22"/>
              </w:rPr>
              <w:tab/>
              <w:t xml:space="preserve">mediju kampaņu, semināru, konferenču un komunikācijas pasākumu īstenošanā sabiedrības informēšanai tiks nodrošināti cilvēkiem ar dažāda veida funkcionāliem traucējumiem piekļūstami formāti (piemēram, tulkošana zīmju valodā, subtitrēšana, Braila druka, reāllaika transkripcija, raidījumu un pasākumu ierakstīšana) </w:t>
            </w:r>
            <w:proofErr w:type="gramStart"/>
            <w:r w:rsidRPr="001964AF">
              <w:rPr>
                <w:sz w:val="22"/>
              </w:rPr>
              <w:t>(</w:t>
            </w:r>
            <w:proofErr w:type="gramEnd"/>
            <w:r w:rsidRPr="001964AF">
              <w:rPr>
                <w:sz w:val="22"/>
              </w:rPr>
              <w:t>atbilstošais HP radītājs - VINPI_02.2.);</w:t>
            </w:r>
          </w:p>
          <w:p w14:paraId="7421A42B" w14:textId="77777777" w:rsidR="00173383" w:rsidRPr="001964AF" w:rsidRDefault="00173383" w:rsidP="00173383">
            <w:pPr>
              <w:pStyle w:val="Standard"/>
              <w:jc w:val="both"/>
              <w:rPr>
                <w:sz w:val="22"/>
              </w:rPr>
            </w:pPr>
            <w:r w:rsidRPr="001964AF">
              <w:rPr>
                <w:sz w:val="22"/>
              </w:rPr>
              <w:t>•</w:t>
            </w:r>
            <w:r w:rsidRPr="001964AF">
              <w:rPr>
                <w:sz w:val="22"/>
              </w:rPr>
              <w:tab/>
              <w:t>tiks nodrošināti konsultatīva rakstura pasākumi par personu ar invaliditāti vienlīdzīgu iespēju</w:t>
            </w:r>
            <w:proofErr w:type="gramStart"/>
            <w:r w:rsidRPr="001964AF">
              <w:rPr>
                <w:sz w:val="22"/>
              </w:rPr>
              <w:t xml:space="preserve">  </w:t>
            </w:r>
            <w:proofErr w:type="gramEnd"/>
            <w:r w:rsidRPr="001964AF">
              <w:rPr>
                <w:sz w:val="22"/>
              </w:rPr>
              <w:t xml:space="preserve">jautājumiem, tostarp piesaistīti eksperti vai nodrošinātas konsultācijas ar nevalstiskajām organizācijām, kas pārstāv personu ar invaliditāti intereses (piemēram, informatīvo materiālu izstrādes procesā, pakalpojuma sniegšanas telpu vides </w:t>
            </w:r>
            <w:proofErr w:type="spellStart"/>
            <w:r w:rsidRPr="001964AF">
              <w:rPr>
                <w:sz w:val="22"/>
              </w:rPr>
              <w:t>piekļūstamības</w:t>
            </w:r>
            <w:proofErr w:type="spellEnd"/>
            <w:r w:rsidRPr="001964AF">
              <w:rPr>
                <w:sz w:val="22"/>
              </w:rPr>
              <w:t xml:space="preserve"> novērtēšanai, mērķa grupu uzrunāšanai un sasniegšanai u.c. (attiecīgi pievienojot dokumentus, </w:t>
            </w:r>
            <w:proofErr w:type="gramStart"/>
            <w:r w:rsidRPr="001964AF">
              <w:rPr>
                <w:sz w:val="22"/>
              </w:rPr>
              <w:t>piem.</w:t>
            </w:r>
            <w:proofErr w:type="gramEnd"/>
            <w:r w:rsidRPr="001964AF">
              <w:rPr>
                <w:sz w:val="22"/>
              </w:rPr>
              <w:t xml:space="preserve"> konsultāciju protokolus u.c.) (atbilstošais HP radītājs - VINPI_01);</w:t>
            </w:r>
          </w:p>
          <w:p w14:paraId="031BBB4F" w14:textId="49A3EB13" w:rsidR="00173383" w:rsidRPr="001964AF" w:rsidRDefault="00173383" w:rsidP="00173383">
            <w:pPr>
              <w:pStyle w:val="Standard"/>
              <w:jc w:val="both"/>
              <w:rPr>
                <w:sz w:val="22"/>
              </w:rPr>
            </w:pPr>
            <w:r w:rsidRPr="001964AF">
              <w:rPr>
                <w:sz w:val="22"/>
              </w:rPr>
              <w:t>•</w:t>
            </w:r>
            <w:r w:rsidRPr="001964AF">
              <w:rPr>
                <w:sz w:val="22"/>
              </w:rPr>
              <w:tab/>
              <w:t xml:space="preserve">izstrādāto vai pilnveidoto stratēģiju, izglītības programmu, metodisko līdzekļu, vadlīniju, mācību līdzekļu (tai skaitā digitālo) saturā tiks integrēti jautājumi par dzimumu līdztiesību, personu ar invaliditāti vienlīdzīgām iespējām, diskriminācijas novēršanu vecuma, etniskās piederības un citu iemeslu dēļ, kā arī pamattiesību jautājumi, tostarp par tiesiskajiem un </w:t>
            </w:r>
            <w:r w:rsidRPr="001964AF">
              <w:rPr>
                <w:sz w:val="22"/>
              </w:rPr>
              <w:lastRenderedPageBreak/>
              <w:t xml:space="preserve">praktiskajiem aspektiem </w:t>
            </w:r>
            <w:proofErr w:type="gramStart"/>
            <w:r w:rsidRPr="001964AF">
              <w:rPr>
                <w:sz w:val="22"/>
              </w:rPr>
              <w:t>(</w:t>
            </w:r>
            <w:proofErr w:type="gramEnd"/>
            <w:r w:rsidRPr="001964AF">
              <w:rPr>
                <w:sz w:val="22"/>
              </w:rPr>
              <w:t>atbilstošais HP radītājs - VINPI_02.1.).</w:t>
            </w:r>
          </w:p>
        </w:tc>
        <w:tc>
          <w:tcPr>
            <w:tcW w:w="2790" w:type="dxa"/>
          </w:tcPr>
          <w:p w14:paraId="20C2BB6C" w14:textId="77777777" w:rsidR="00A817DD" w:rsidRDefault="00A817DD" w:rsidP="00A817DD">
            <w:pPr>
              <w:pStyle w:val="Standard"/>
              <w:jc w:val="both"/>
              <w:rPr>
                <w:b/>
                <w:bCs/>
                <w:sz w:val="22"/>
              </w:rPr>
            </w:pPr>
            <w:r w:rsidRPr="00AA7DB5">
              <w:rPr>
                <w:b/>
                <w:bCs/>
                <w:sz w:val="22"/>
              </w:rPr>
              <w:lastRenderedPageBreak/>
              <w:t>Ņemts vērā</w:t>
            </w:r>
          </w:p>
          <w:p w14:paraId="699CDA66" w14:textId="77777777" w:rsidR="00A817DD" w:rsidRDefault="00A817DD" w:rsidP="00A817DD">
            <w:pPr>
              <w:pStyle w:val="Standard"/>
              <w:jc w:val="both"/>
              <w:rPr>
                <w:rFonts w:cs="Times New Roman"/>
                <w:sz w:val="22"/>
              </w:rPr>
            </w:pPr>
          </w:p>
          <w:p w14:paraId="59ED6E9C" w14:textId="000A5DA0" w:rsidR="00173383" w:rsidRPr="000054D9" w:rsidRDefault="00A817DD" w:rsidP="00A817DD">
            <w:pPr>
              <w:pStyle w:val="Standard"/>
              <w:jc w:val="both"/>
              <w:rPr>
                <w:sz w:val="22"/>
              </w:rPr>
            </w:pPr>
            <w:r>
              <w:rPr>
                <w:rFonts w:cs="Times New Roman"/>
                <w:sz w:val="22"/>
              </w:rPr>
              <w:t>Atbilstoši papildināta</w:t>
            </w:r>
            <w:r w:rsidRPr="00E66B79">
              <w:rPr>
                <w:rFonts w:cs="Times New Roman"/>
                <w:sz w:val="22"/>
              </w:rPr>
              <w:t xml:space="preserve"> </w:t>
            </w:r>
            <w:r>
              <w:rPr>
                <w:rFonts w:cs="Times New Roman"/>
                <w:sz w:val="22"/>
              </w:rPr>
              <w:t>kritērija Nr. 4</w:t>
            </w:r>
            <w:r w:rsidRPr="00E66B79">
              <w:rPr>
                <w:rFonts w:cs="Times New Roman"/>
                <w:sz w:val="22"/>
              </w:rPr>
              <w:t>.</w:t>
            </w:r>
            <w:r w:rsidR="00A11DBD">
              <w:rPr>
                <w:rFonts w:cs="Times New Roman"/>
                <w:sz w:val="22"/>
              </w:rPr>
              <w:t>7</w:t>
            </w:r>
            <w:r w:rsidRPr="00E66B79">
              <w:rPr>
                <w:rFonts w:cs="Times New Roman"/>
                <w:sz w:val="22"/>
              </w:rPr>
              <w:t>.</w:t>
            </w:r>
            <w:r>
              <w:rPr>
                <w:rFonts w:cs="Times New Roman"/>
                <w:sz w:val="22"/>
              </w:rPr>
              <w:t xml:space="preserve"> </w:t>
            </w:r>
            <w:r w:rsidRPr="00E66B79">
              <w:rPr>
                <w:rFonts w:cs="Times New Roman"/>
                <w:sz w:val="22"/>
              </w:rPr>
              <w:t>piemērošanas metodika.</w:t>
            </w:r>
          </w:p>
        </w:tc>
        <w:tc>
          <w:tcPr>
            <w:tcW w:w="2790" w:type="dxa"/>
          </w:tcPr>
          <w:p w14:paraId="04B93743" w14:textId="77777777" w:rsidR="00173383" w:rsidRPr="000054D9" w:rsidRDefault="00173383" w:rsidP="00173383">
            <w:pPr>
              <w:pStyle w:val="Standard"/>
              <w:jc w:val="both"/>
              <w:rPr>
                <w:sz w:val="22"/>
              </w:rPr>
            </w:pPr>
          </w:p>
        </w:tc>
      </w:tr>
      <w:tr w:rsidR="00173383" w:rsidRPr="000054D9" w14:paraId="2070334D" w14:textId="77777777" w:rsidTr="6692F8A4">
        <w:tc>
          <w:tcPr>
            <w:tcW w:w="562" w:type="dxa"/>
          </w:tcPr>
          <w:p w14:paraId="1CFECFA7" w14:textId="77777777" w:rsidR="00173383" w:rsidRPr="000054D9" w:rsidRDefault="00173383" w:rsidP="00173383">
            <w:pPr>
              <w:pStyle w:val="Standard"/>
              <w:numPr>
                <w:ilvl w:val="0"/>
                <w:numId w:val="13"/>
              </w:numPr>
              <w:ind w:hanging="1049"/>
              <w:jc w:val="center"/>
              <w:rPr>
                <w:b/>
                <w:bCs/>
                <w:sz w:val="22"/>
              </w:rPr>
            </w:pPr>
          </w:p>
        </w:tc>
        <w:tc>
          <w:tcPr>
            <w:tcW w:w="3119" w:type="dxa"/>
            <w:vMerge/>
          </w:tcPr>
          <w:p w14:paraId="7670F801" w14:textId="77777777" w:rsidR="00173383" w:rsidRDefault="00173383" w:rsidP="00173383">
            <w:pPr>
              <w:pStyle w:val="Standard"/>
              <w:jc w:val="both"/>
              <w:rPr>
                <w:b/>
                <w:bCs/>
                <w:sz w:val="22"/>
              </w:rPr>
            </w:pPr>
          </w:p>
        </w:tc>
        <w:tc>
          <w:tcPr>
            <w:tcW w:w="4687" w:type="dxa"/>
          </w:tcPr>
          <w:p w14:paraId="08942A88" w14:textId="77777777" w:rsidR="00173383" w:rsidRPr="001964AF" w:rsidRDefault="00173383" w:rsidP="00173383">
            <w:pPr>
              <w:pStyle w:val="Standard"/>
              <w:jc w:val="both"/>
              <w:rPr>
                <w:rFonts w:cs="Times New Roman"/>
                <w:b/>
                <w:bCs/>
                <w:sz w:val="22"/>
              </w:rPr>
            </w:pPr>
            <w:r w:rsidRPr="001964AF">
              <w:rPr>
                <w:rFonts w:cs="Times New Roman"/>
                <w:b/>
                <w:bCs/>
                <w:sz w:val="22"/>
              </w:rPr>
              <w:t>Labklājības ministrija HP</w:t>
            </w:r>
          </w:p>
          <w:p w14:paraId="520C8117" w14:textId="77777777" w:rsidR="00173383" w:rsidRDefault="00173383" w:rsidP="00173383">
            <w:pPr>
              <w:pStyle w:val="Standard"/>
              <w:jc w:val="both"/>
              <w:rPr>
                <w:sz w:val="22"/>
              </w:rPr>
            </w:pPr>
          </w:p>
          <w:p w14:paraId="2B4EBE30" w14:textId="3730467A" w:rsidR="00173383" w:rsidRPr="001964AF" w:rsidRDefault="00173383" w:rsidP="00173383">
            <w:pPr>
              <w:pStyle w:val="Standard"/>
              <w:jc w:val="both"/>
              <w:rPr>
                <w:sz w:val="22"/>
              </w:rPr>
            </w:pPr>
            <w:r>
              <w:rPr>
                <w:sz w:val="22"/>
              </w:rPr>
              <w:t>L</w:t>
            </w:r>
            <w:r w:rsidRPr="001964AF">
              <w:rPr>
                <w:sz w:val="22"/>
              </w:rPr>
              <w:t>ūdzam kritēriju metodikas skaidrojumu papildināt ar citiem HP VINPI rādītāju piemēriem, kas izriet no pasākuma satura (nemateriālajiem ieguldījumiem), kurus iespējams papildus izvēlēties sagatavojot projekta iesniegumu, lai projekta vērtēšanā varētu iegūt augstāku punktu skaitu:</w:t>
            </w:r>
          </w:p>
          <w:p w14:paraId="06E307EA" w14:textId="77777777" w:rsidR="00173383" w:rsidRPr="001964AF" w:rsidRDefault="00173383" w:rsidP="00173383">
            <w:pPr>
              <w:pStyle w:val="Standard"/>
              <w:jc w:val="both"/>
              <w:rPr>
                <w:sz w:val="22"/>
              </w:rPr>
            </w:pPr>
            <w:r w:rsidRPr="001964AF">
              <w:rPr>
                <w:sz w:val="22"/>
              </w:rPr>
              <w:t>•</w:t>
            </w:r>
            <w:r w:rsidRPr="001964AF">
              <w:rPr>
                <w:sz w:val="22"/>
              </w:rPr>
              <w:tab/>
              <w:t>Mediju kampaņu, semināru, konferenču</w:t>
            </w:r>
            <w:proofErr w:type="gramStart"/>
            <w:r w:rsidRPr="001964AF">
              <w:rPr>
                <w:sz w:val="22"/>
              </w:rPr>
              <w:t xml:space="preserve">  </w:t>
            </w:r>
            <w:proofErr w:type="gramEnd"/>
            <w:r w:rsidRPr="001964AF">
              <w:rPr>
                <w:sz w:val="22"/>
              </w:rPr>
              <w:t>un komunikācijas pasākumu skaits, kuros  sabiedrības informēšanai tika nodrošināti cilvēkiem ar dažāda veida funkcionāliem traucējumiem piekļūstami formāti ( piem., tulkošana zīmju valodā, subtitrēšana, reāllaika transkripcija, raidījumu un pasākumu ieraksti) (VINPI_02.2);</w:t>
            </w:r>
          </w:p>
          <w:p w14:paraId="4EB352A1" w14:textId="77777777" w:rsidR="00173383" w:rsidRPr="001964AF" w:rsidRDefault="00173383" w:rsidP="00173383">
            <w:pPr>
              <w:pStyle w:val="Standard"/>
              <w:jc w:val="both"/>
              <w:rPr>
                <w:sz w:val="22"/>
              </w:rPr>
            </w:pPr>
            <w:r w:rsidRPr="001964AF">
              <w:rPr>
                <w:sz w:val="22"/>
              </w:rPr>
              <w:t>•</w:t>
            </w:r>
            <w:r w:rsidRPr="001964AF">
              <w:rPr>
                <w:sz w:val="22"/>
              </w:rPr>
              <w:tab/>
              <w:t>Izstrādāto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pamattiesību jautājumi, tostarp par tiesiskajiem un praktiskajiem aspektiem. (VINPI_02.1.);</w:t>
            </w:r>
          </w:p>
          <w:p w14:paraId="66E7435C" w14:textId="5075D449" w:rsidR="00173383" w:rsidRPr="001964AF" w:rsidRDefault="00173383" w:rsidP="00173383">
            <w:pPr>
              <w:pStyle w:val="Standard"/>
              <w:jc w:val="both"/>
              <w:rPr>
                <w:sz w:val="22"/>
              </w:rPr>
            </w:pPr>
            <w:r w:rsidRPr="001964AF">
              <w:rPr>
                <w:sz w:val="22"/>
              </w:rPr>
              <w:t>•</w:t>
            </w:r>
            <w:r w:rsidRPr="001964AF">
              <w:rPr>
                <w:sz w:val="22"/>
              </w:rPr>
              <w:tab/>
              <w:t>Konsultatīva rakstura pasākumu skaits par dzimumu līdztiesības, personu ar invaliditāti vienlīdzīgu iespēju, vecuma nediskriminācijas, etniskās u.c. piederības un pamattiesību jautājumiem, tostarp par</w:t>
            </w:r>
            <w:proofErr w:type="gramStart"/>
            <w:r w:rsidRPr="001964AF">
              <w:rPr>
                <w:sz w:val="22"/>
              </w:rPr>
              <w:t xml:space="preserve">  </w:t>
            </w:r>
            <w:proofErr w:type="gramEnd"/>
            <w:r w:rsidRPr="001964AF">
              <w:rPr>
                <w:sz w:val="22"/>
              </w:rPr>
              <w:t>tiesiskajiem un praktiskajiem aspektiem (VINPI_01).</w:t>
            </w:r>
          </w:p>
        </w:tc>
        <w:tc>
          <w:tcPr>
            <w:tcW w:w="2790" w:type="dxa"/>
          </w:tcPr>
          <w:p w14:paraId="2E0D3947" w14:textId="77777777" w:rsidR="007C6C9E" w:rsidRDefault="007C6C9E" w:rsidP="007C6C9E">
            <w:pPr>
              <w:pStyle w:val="Standard"/>
              <w:jc w:val="both"/>
              <w:rPr>
                <w:b/>
                <w:bCs/>
                <w:sz w:val="22"/>
              </w:rPr>
            </w:pPr>
            <w:r w:rsidRPr="00AA7DB5">
              <w:rPr>
                <w:b/>
                <w:bCs/>
                <w:sz w:val="22"/>
              </w:rPr>
              <w:t>Ņemts vērā</w:t>
            </w:r>
          </w:p>
          <w:p w14:paraId="4C5B315C" w14:textId="77777777" w:rsidR="007C6C9E" w:rsidRDefault="007C6C9E" w:rsidP="007C6C9E">
            <w:pPr>
              <w:pStyle w:val="Standard"/>
              <w:jc w:val="both"/>
              <w:rPr>
                <w:rFonts w:cs="Times New Roman"/>
                <w:sz w:val="22"/>
              </w:rPr>
            </w:pPr>
          </w:p>
          <w:p w14:paraId="51100A25" w14:textId="77D48770" w:rsidR="00173383" w:rsidRPr="000054D9" w:rsidRDefault="007C6C9E" w:rsidP="007C6C9E">
            <w:pPr>
              <w:pStyle w:val="Standard"/>
              <w:jc w:val="both"/>
              <w:rPr>
                <w:sz w:val="22"/>
              </w:rPr>
            </w:pPr>
            <w:r>
              <w:rPr>
                <w:rFonts w:cs="Times New Roman"/>
                <w:sz w:val="22"/>
              </w:rPr>
              <w:t>Atbilstoši papildināta</w:t>
            </w:r>
            <w:r w:rsidRPr="00E66B79">
              <w:rPr>
                <w:rFonts w:cs="Times New Roman"/>
                <w:sz w:val="22"/>
              </w:rPr>
              <w:t xml:space="preserve"> </w:t>
            </w:r>
            <w:r>
              <w:rPr>
                <w:rFonts w:cs="Times New Roman"/>
                <w:sz w:val="22"/>
              </w:rPr>
              <w:t>kritērija Nr. 4</w:t>
            </w:r>
            <w:r w:rsidRPr="00E66B79">
              <w:rPr>
                <w:rFonts w:cs="Times New Roman"/>
                <w:sz w:val="22"/>
              </w:rPr>
              <w:t>.</w:t>
            </w:r>
            <w:r w:rsidR="00A11DBD">
              <w:rPr>
                <w:rFonts w:cs="Times New Roman"/>
                <w:sz w:val="22"/>
              </w:rPr>
              <w:t>7</w:t>
            </w:r>
            <w:r w:rsidRPr="00E66B79">
              <w:rPr>
                <w:rFonts w:cs="Times New Roman"/>
                <w:sz w:val="22"/>
              </w:rPr>
              <w:t>.</w:t>
            </w:r>
            <w:r>
              <w:rPr>
                <w:rFonts w:cs="Times New Roman"/>
                <w:sz w:val="22"/>
              </w:rPr>
              <w:t xml:space="preserve"> </w:t>
            </w:r>
            <w:r w:rsidRPr="00E66B79">
              <w:rPr>
                <w:rFonts w:cs="Times New Roman"/>
                <w:sz w:val="22"/>
              </w:rPr>
              <w:t>piemērošanas metodika.</w:t>
            </w:r>
          </w:p>
        </w:tc>
        <w:tc>
          <w:tcPr>
            <w:tcW w:w="2790" w:type="dxa"/>
          </w:tcPr>
          <w:p w14:paraId="6F621298" w14:textId="77777777" w:rsidR="00173383" w:rsidRPr="000054D9" w:rsidRDefault="00173383" w:rsidP="00173383">
            <w:pPr>
              <w:pStyle w:val="Standard"/>
              <w:jc w:val="both"/>
              <w:rPr>
                <w:sz w:val="22"/>
              </w:rPr>
            </w:pPr>
          </w:p>
        </w:tc>
      </w:tr>
      <w:tr w:rsidR="00173383" w:rsidRPr="000054D9" w14:paraId="569759AF" w14:textId="77777777" w:rsidTr="6692F8A4">
        <w:tc>
          <w:tcPr>
            <w:tcW w:w="562" w:type="dxa"/>
          </w:tcPr>
          <w:p w14:paraId="6F3988B8" w14:textId="77777777" w:rsidR="00173383" w:rsidRPr="000054D9" w:rsidRDefault="00173383" w:rsidP="00173383">
            <w:pPr>
              <w:pStyle w:val="Standard"/>
              <w:numPr>
                <w:ilvl w:val="0"/>
                <w:numId w:val="13"/>
              </w:numPr>
              <w:ind w:hanging="1049"/>
              <w:jc w:val="center"/>
              <w:rPr>
                <w:b/>
                <w:bCs/>
                <w:sz w:val="22"/>
              </w:rPr>
            </w:pPr>
          </w:p>
        </w:tc>
        <w:tc>
          <w:tcPr>
            <w:tcW w:w="3119" w:type="dxa"/>
            <w:vMerge/>
          </w:tcPr>
          <w:p w14:paraId="0D3EEC97" w14:textId="77777777" w:rsidR="00173383" w:rsidRDefault="00173383" w:rsidP="00173383">
            <w:pPr>
              <w:pStyle w:val="Standard"/>
              <w:jc w:val="both"/>
              <w:rPr>
                <w:b/>
                <w:bCs/>
                <w:sz w:val="22"/>
              </w:rPr>
            </w:pPr>
          </w:p>
        </w:tc>
        <w:tc>
          <w:tcPr>
            <w:tcW w:w="4687" w:type="dxa"/>
          </w:tcPr>
          <w:p w14:paraId="6E2829E8" w14:textId="77777777" w:rsidR="00173383" w:rsidRPr="001964AF" w:rsidRDefault="00173383" w:rsidP="00173383">
            <w:pPr>
              <w:pStyle w:val="Standard"/>
              <w:jc w:val="both"/>
              <w:rPr>
                <w:rFonts w:cs="Times New Roman"/>
                <w:b/>
                <w:bCs/>
                <w:sz w:val="22"/>
              </w:rPr>
            </w:pPr>
            <w:r w:rsidRPr="001964AF">
              <w:rPr>
                <w:rFonts w:cs="Times New Roman"/>
                <w:b/>
                <w:bCs/>
                <w:sz w:val="22"/>
              </w:rPr>
              <w:t>Labklājības ministrija HP</w:t>
            </w:r>
          </w:p>
          <w:p w14:paraId="4DE5E5CA" w14:textId="77777777" w:rsidR="00173383" w:rsidRDefault="00173383" w:rsidP="00173383">
            <w:pPr>
              <w:pStyle w:val="Standard"/>
              <w:jc w:val="both"/>
              <w:rPr>
                <w:sz w:val="22"/>
              </w:rPr>
            </w:pPr>
          </w:p>
          <w:p w14:paraId="4C9B3C10" w14:textId="15DCAD02" w:rsidR="00173383" w:rsidRPr="001964AF" w:rsidRDefault="00173383" w:rsidP="00173383">
            <w:pPr>
              <w:pStyle w:val="Standard"/>
              <w:jc w:val="both"/>
              <w:rPr>
                <w:sz w:val="22"/>
              </w:rPr>
            </w:pPr>
            <w:r>
              <w:rPr>
                <w:sz w:val="22"/>
              </w:rPr>
              <w:t>L</w:t>
            </w:r>
            <w:r w:rsidRPr="001964AF">
              <w:rPr>
                <w:sz w:val="22"/>
              </w:rPr>
              <w:t xml:space="preserve">ūdzam precizēt HP VINPI rādītāju - Objektu skaits, kuros ERAF/KF ieguldījumu rezultātā ir </w:t>
            </w:r>
            <w:r w:rsidRPr="001964AF">
              <w:rPr>
                <w:sz w:val="22"/>
              </w:rPr>
              <w:lastRenderedPageBreak/>
              <w:t>nodrošināta vides un informācijas pieejamība, atbilstoši HP VINPI Vadlīniju 4.pielikumā noteikto</w:t>
            </w:r>
            <w:proofErr w:type="gramStart"/>
            <w:r w:rsidRPr="001964AF">
              <w:rPr>
                <w:sz w:val="22"/>
              </w:rPr>
              <w:t xml:space="preserve">  </w:t>
            </w:r>
            <w:proofErr w:type="gramEnd"/>
            <w:r w:rsidRPr="001964AF">
              <w:rPr>
                <w:sz w:val="22"/>
              </w:rPr>
              <w:t>rādītāju redakcijām. Informējam, ka šāda rādītāju redakcijas tiks iekļautas Kohēzijas politikas fondu vadības sistēmā HP VINPI rādītāju sadaļā. Papildus lūdzam salāgot ar MK noteikumos noteikto redakciju.</w:t>
            </w:r>
          </w:p>
          <w:p w14:paraId="42070624" w14:textId="7A5BFD43" w:rsidR="00173383" w:rsidRPr="001964AF" w:rsidRDefault="00173383" w:rsidP="00173383">
            <w:pPr>
              <w:pStyle w:val="Standard"/>
              <w:jc w:val="both"/>
              <w:rPr>
                <w:sz w:val="22"/>
              </w:rPr>
            </w:pPr>
            <w:r w:rsidRPr="002B32B8">
              <w:rPr>
                <w:sz w:val="22"/>
              </w:rPr>
              <w:t>Lūdzu skatīt visus komentārus un precizējumus pielikumā.</w:t>
            </w:r>
          </w:p>
        </w:tc>
        <w:tc>
          <w:tcPr>
            <w:tcW w:w="2790" w:type="dxa"/>
          </w:tcPr>
          <w:p w14:paraId="3AA1D2AA" w14:textId="77777777" w:rsidR="007A1396" w:rsidRDefault="007A1396" w:rsidP="007A1396">
            <w:pPr>
              <w:pStyle w:val="Standard"/>
              <w:jc w:val="both"/>
              <w:rPr>
                <w:b/>
                <w:bCs/>
                <w:sz w:val="22"/>
              </w:rPr>
            </w:pPr>
            <w:r w:rsidRPr="00AA7DB5">
              <w:rPr>
                <w:b/>
                <w:bCs/>
                <w:sz w:val="22"/>
              </w:rPr>
              <w:lastRenderedPageBreak/>
              <w:t>Ņemts vērā</w:t>
            </w:r>
          </w:p>
          <w:p w14:paraId="6D1BA636" w14:textId="77777777" w:rsidR="007A1396" w:rsidRDefault="007A1396" w:rsidP="007A1396">
            <w:pPr>
              <w:pStyle w:val="Standard"/>
              <w:jc w:val="both"/>
              <w:rPr>
                <w:rFonts w:cs="Times New Roman"/>
                <w:sz w:val="22"/>
              </w:rPr>
            </w:pPr>
          </w:p>
          <w:p w14:paraId="22837024" w14:textId="17CC3D0F" w:rsidR="00173383" w:rsidRPr="000054D9" w:rsidRDefault="007A1396" w:rsidP="007A1396">
            <w:pPr>
              <w:pStyle w:val="Standard"/>
              <w:jc w:val="both"/>
              <w:rPr>
                <w:sz w:val="22"/>
              </w:rPr>
            </w:pPr>
            <w:r>
              <w:rPr>
                <w:rFonts w:cs="Times New Roman"/>
                <w:sz w:val="22"/>
              </w:rPr>
              <w:lastRenderedPageBreak/>
              <w:t>Atbilstoši precizēta</w:t>
            </w:r>
            <w:r w:rsidRPr="00E66B79">
              <w:rPr>
                <w:rFonts w:cs="Times New Roman"/>
                <w:sz w:val="22"/>
              </w:rPr>
              <w:t xml:space="preserve"> </w:t>
            </w:r>
            <w:r>
              <w:rPr>
                <w:rFonts w:cs="Times New Roman"/>
                <w:sz w:val="22"/>
              </w:rPr>
              <w:t>kritērija Nr. 4</w:t>
            </w:r>
            <w:r w:rsidRPr="00E66B79">
              <w:rPr>
                <w:rFonts w:cs="Times New Roman"/>
                <w:sz w:val="22"/>
              </w:rPr>
              <w:t>.</w:t>
            </w:r>
            <w:r w:rsidR="00A11DBD">
              <w:rPr>
                <w:rFonts w:cs="Times New Roman"/>
                <w:sz w:val="22"/>
              </w:rPr>
              <w:t>7</w:t>
            </w:r>
            <w:r w:rsidRPr="00E66B79">
              <w:rPr>
                <w:rFonts w:cs="Times New Roman"/>
                <w:sz w:val="22"/>
              </w:rPr>
              <w:t>.</w:t>
            </w:r>
            <w:r>
              <w:rPr>
                <w:rFonts w:cs="Times New Roman"/>
                <w:sz w:val="22"/>
              </w:rPr>
              <w:t xml:space="preserve"> </w:t>
            </w:r>
            <w:r w:rsidRPr="00E66B79">
              <w:rPr>
                <w:rFonts w:cs="Times New Roman"/>
                <w:sz w:val="22"/>
              </w:rPr>
              <w:t>piemērošanas metodika.</w:t>
            </w:r>
          </w:p>
        </w:tc>
        <w:tc>
          <w:tcPr>
            <w:tcW w:w="2790" w:type="dxa"/>
          </w:tcPr>
          <w:p w14:paraId="2771DF7C" w14:textId="77777777" w:rsidR="00173383" w:rsidRPr="000054D9" w:rsidRDefault="00173383" w:rsidP="00173383">
            <w:pPr>
              <w:pStyle w:val="Standard"/>
              <w:jc w:val="both"/>
              <w:rPr>
                <w:sz w:val="22"/>
              </w:rPr>
            </w:pPr>
          </w:p>
        </w:tc>
      </w:tr>
      <w:tr w:rsidR="00173383" w:rsidRPr="000054D9" w14:paraId="6780AE87" w14:textId="77777777" w:rsidTr="6692F8A4">
        <w:tc>
          <w:tcPr>
            <w:tcW w:w="562" w:type="dxa"/>
          </w:tcPr>
          <w:p w14:paraId="29F93609" w14:textId="77777777" w:rsidR="00173383" w:rsidRPr="000054D9" w:rsidRDefault="00173383" w:rsidP="00173383">
            <w:pPr>
              <w:pStyle w:val="Standard"/>
              <w:numPr>
                <w:ilvl w:val="0"/>
                <w:numId w:val="13"/>
              </w:numPr>
              <w:ind w:hanging="1049"/>
              <w:jc w:val="center"/>
              <w:rPr>
                <w:b/>
                <w:bCs/>
                <w:sz w:val="22"/>
              </w:rPr>
            </w:pPr>
          </w:p>
        </w:tc>
        <w:tc>
          <w:tcPr>
            <w:tcW w:w="3119" w:type="dxa"/>
          </w:tcPr>
          <w:p w14:paraId="589AB23D" w14:textId="3947731A" w:rsidR="00173383" w:rsidRDefault="00173383" w:rsidP="00173383">
            <w:pPr>
              <w:pStyle w:val="Standard"/>
              <w:jc w:val="both"/>
              <w:rPr>
                <w:b/>
                <w:bCs/>
                <w:sz w:val="22"/>
              </w:rPr>
            </w:pPr>
            <w:r>
              <w:rPr>
                <w:b/>
                <w:bCs/>
                <w:sz w:val="22"/>
              </w:rPr>
              <w:t>Tehniski</w:t>
            </w:r>
          </w:p>
        </w:tc>
        <w:tc>
          <w:tcPr>
            <w:tcW w:w="4687" w:type="dxa"/>
          </w:tcPr>
          <w:p w14:paraId="52E8FFB3" w14:textId="35A6100F" w:rsidR="00173383" w:rsidRPr="001A26E6" w:rsidRDefault="00173383" w:rsidP="00173383">
            <w:pPr>
              <w:pStyle w:val="Standard"/>
              <w:jc w:val="both"/>
              <w:rPr>
                <w:b/>
                <w:bCs/>
                <w:sz w:val="22"/>
              </w:rPr>
            </w:pPr>
            <w:r w:rsidRPr="001A26E6">
              <w:rPr>
                <w:b/>
                <w:bCs/>
                <w:sz w:val="22"/>
              </w:rPr>
              <w:t>Veselības ministrija</w:t>
            </w:r>
          </w:p>
          <w:p w14:paraId="3BABB9CD" w14:textId="77777777" w:rsidR="00173383" w:rsidRPr="001A26E6" w:rsidRDefault="00173383" w:rsidP="00173383">
            <w:pPr>
              <w:pStyle w:val="Standard"/>
              <w:jc w:val="both"/>
              <w:rPr>
                <w:sz w:val="22"/>
              </w:rPr>
            </w:pPr>
          </w:p>
          <w:p w14:paraId="41B4A620" w14:textId="32836274" w:rsidR="00173383" w:rsidRPr="001A26E6" w:rsidRDefault="00173383" w:rsidP="00173383">
            <w:pPr>
              <w:pStyle w:val="Standard"/>
              <w:jc w:val="both"/>
              <w:rPr>
                <w:sz w:val="22"/>
              </w:rPr>
            </w:pPr>
            <w:r w:rsidRPr="001A26E6">
              <w:rPr>
                <w:sz w:val="22"/>
              </w:rPr>
              <w:t>Lūdzam kritēriju piemērošanas metodikā 4.3. kvalitātes kritērijā sadaļā “Skaidrojums atbilstības noteikšanai” lūdzam norādīt, kas notiek gadījumā, ja netiek sasniegts nepieciešamais punktu skaits.</w:t>
            </w:r>
          </w:p>
        </w:tc>
        <w:tc>
          <w:tcPr>
            <w:tcW w:w="2790" w:type="dxa"/>
          </w:tcPr>
          <w:p w14:paraId="5B47ECBE" w14:textId="77777777" w:rsidR="00003916" w:rsidRDefault="00003916" w:rsidP="00003916">
            <w:pPr>
              <w:pStyle w:val="Standard"/>
              <w:jc w:val="both"/>
              <w:rPr>
                <w:b/>
                <w:bCs/>
                <w:sz w:val="22"/>
              </w:rPr>
            </w:pPr>
            <w:r w:rsidRPr="00AA7DB5">
              <w:rPr>
                <w:b/>
                <w:bCs/>
                <w:sz w:val="22"/>
              </w:rPr>
              <w:t>Ņemts vērā</w:t>
            </w:r>
          </w:p>
          <w:p w14:paraId="71522962" w14:textId="77777777" w:rsidR="00003916" w:rsidRDefault="00003916" w:rsidP="00003916">
            <w:pPr>
              <w:pStyle w:val="Standard"/>
              <w:jc w:val="both"/>
              <w:rPr>
                <w:rFonts w:cs="Times New Roman"/>
                <w:sz w:val="22"/>
              </w:rPr>
            </w:pPr>
          </w:p>
          <w:p w14:paraId="4A55FCE8" w14:textId="541215C5" w:rsidR="00173383" w:rsidRPr="000054D9" w:rsidRDefault="00003916" w:rsidP="00003916">
            <w:pPr>
              <w:pStyle w:val="Standard"/>
              <w:jc w:val="both"/>
              <w:rPr>
                <w:sz w:val="22"/>
              </w:rPr>
            </w:pPr>
            <w:r>
              <w:rPr>
                <w:rFonts w:cs="Times New Roman"/>
                <w:sz w:val="22"/>
              </w:rPr>
              <w:t>Atbilstoši precizēta</w:t>
            </w:r>
            <w:r w:rsidRPr="00E66B79">
              <w:rPr>
                <w:rFonts w:cs="Times New Roman"/>
                <w:sz w:val="22"/>
              </w:rPr>
              <w:t xml:space="preserve"> </w:t>
            </w:r>
            <w:r>
              <w:rPr>
                <w:rFonts w:cs="Times New Roman"/>
                <w:sz w:val="22"/>
              </w:rPr>
              <w:t>kritērija Nr. 4</w:t>
            </w:r>
            <w:r w:rsidRPr="00E66B79">
              <w:rPr>
                <w:rFonts w:cs="Times New Roman"/>
                <w:sz w:val="22"/>
              </w:rPr>
              <w:t>.</w:t>
            </w:r>
            <w:r>
              <w:rPr>
                <w:rFonts w:cs="Times New Roman"/>
                <w:sz w:val="22"/>
              </w:rPr>
              <w:t>3</w:t>
            </w:r>
            <w:r w:rsidRPr="00E66B79">
              <w:rPr>
                <w:rFonts w:cs="Times New Roman"/>
                <w:sz w:val="22"/>
              </w:rPr>
              <w:t>.</w:t>
            </w:r>
            <w:r>
              <w:rPr>
                <w:rFonts w:cs="Times New Roman"/>
                <w:sz w:val="22"/>
              </w:rPr>
              <w:t xml:space="preserve"> </w:t>
            </w:r>
            <w:r w:rsidRPr="00E66B79">
              <w:rPr>
                <w:rFonts w:cs="Times New Roman"/>
                <w:sz w:val="22"/>
              </w:rPr>
              <w:t>piemērošanas metodika.</w:t>
            </w:r>
          </w:p>
        </w:tc>
        <w:tc>
          <w:tcPr>
            <w:tcW w:w="2790" w:type="dxa"/>
          </w:tcPr>
          <w:p w14:paraId="5FD41D9B" w14:textId="77777777" w:rsidR="00173383" w:rsidRPr="000054D9" w:rsidRDefault="00173383" w:rsidP="00173383">
            <w:pPr>
              <w:pStyle w:val="Standard"/>
              <w:jc w:val="both"/>
              <w:rPr>
                <w:sz w:val="22"/>
              </w:rPr>
            </w:pPr>
          </w:p>
        </w:tc>
      </w:tr>
      <w:tr w:rsidR="00173383" w:rsidRPr="000054D9" w14:paraId="0820AD74" w14:textId="77777777" w:rsidTr="6692F8A4">
        <w:tc>
          <w:tcPr>
            <w:tcW w:w="562" w:type="dxa"/>
          </w:tcPr>
          <w:p w14:paraId="3E9D64CA" w14:textId="77777777" w:rsidR="00173383" w:rsidRPr="000054D9" w:rsidRDefault="00173383" w:rsidP="00173383">
            <w:pPr>
              <w:pStyle w:val="Standard"/>
              <w:numPr>
                <w:ilvl w:val="0"/>
                <w:numId w:val="13"/>
              </w:numPr>
              <w:ind w:hanging="1049"/>
              <w:jc w:val="center"/>
              <w:rPr>
                <w:b/>
                <w:bCs/>
                <w:sz w:val="22"/>
              </w:rPr>
            </w:pPr>
          </w:p>
        </w:tc>
        <w:tc>
          <w:tcPr>
            <w:tcW w:w="3119" w:type="dxa"/>
          </w:tcPr>
          <w:p w14:paraId="373081AF" w14:textId="5C741141" w:rsidR="00173383" w:rsidRDefault="00173383" w:rsidP="00173383">
            <w:pPr>
              <w:pStyle w:val="Standard"/>
              <w:jc w:val="both"/>
              <w:rPr>
                <w:b/>
                <w:bCs/>
                <w:sz w:val="22"/>
              </w:rPr>
            </w:pPr>
            <w:r>
              <w:rPr>
                <w:b/>
                <w:bCs/>
                <w:sz w:val="22"/>
              </w:rPr>
              <w:t>Tehniski</w:t>
            </w:r>
          </w:p>
        </w:tc>
        <w:tc>
          <w:tcPr>
            <w:tcW w:w="4687" w:type="dxa"/>
          </w:tcPr>
          <w:p w14:paraId="59E85CF4" w14:textId="7564C352" w:rsidR="00173383" w:rsidRPr="001A26E6" w:rsidRDefault="00173383" w:rsidP="00173383">
            <w:pPr>
              <w:pStyle w:val="Standard"/>
              <w:jc w:val="both"/>
              <w:rPr>
                <w:b/>
                <w:bCs/>
                <w:sz w:val="22"/>
              </w:rPr>
            </w:pPr>
            <w:r w:rsidRPr="001A26E6">
              <w:rPr>
                <w:b/>
                <w:bCs/>
                <w:sz w:val="22"/>
              </w:rPr>
              <w:t>Veselības ministrija</w:t>
            </w:r>
          </w:p>
          <w:p w14:paraId="1D91CBAA" w14:textId="77777777" w:rsidR="00173383" w:rsidRPr="001A26E6" w:rsidRDefault="00173383" w:rsidP="00173383">
            <w:pPr>
              <w:pStyle w:val="Standard"/>
              <w:jc w:val="both"/>
              <w:rPr>
                <w:sz w:val="22"/>
              </w:rPr>
            </w:pPr>
          </w:p>
          <w:p w14:paraId="5AEBEA6B" w14:textId="1A582EA0" w:rsidR="00173383" w:rsidRPr="001A26E6" w:rsidRDefault="00173383" w:rsidP="00173383">
            <w:pPr>
              <w:pStyle w:val="Standard"/>
              <w:jc w:val="both"/>
              <w:rPr>
                <w:sz w:val="22"/>
              </w:rPr>
            </w:pPr>
            <w:r w:rsidRPr="001A26E6">
              <w:rPr>
                <w:sz w:val="22"/>
              </w:rPr>
              <w:t>Lūdzam kritēriju piemērošanas metodikā 4.5. kvalitātes kritērijā sadaļā “Skaidrojums atbilstības noteikšanai” lūdzam norādīt, kas notiek gadījumā, ja netiek sasniegts nepieciešamais punktu skaits.</w:t>
            </w:r>
          </w:p>
        </w:tc>
        <w:tc>
          <w:tcPr>
            <w:tcW w:w="2790" w:type="dxa"/>
          </w:tcPr>
          <w:p w14:paraId="6949B950" w14:textId="77777777" w:rsidR="00E04B49" w:rsidRDefault="00E04B49" w:rsidP="00E04B49">
            <w:pPr>
              <w:pStyle w:val="Standard"/>
              <w:jc w:val="both"/>
              <w:rPr>
                <w:b/>
                <w:bCs/>
                <w:sz w:val="22"/>
              </w:rPr>
            </w:pPr>
            <w:r w:rsidRPr="00AA7DB5">
              <w:rPr>
                <w:b/>
                <w:bCs/>
                <w:sz w:val="22"/>
              </w:rPr>
              <w:t>Ņemts vērā</w:t>
            </w:r>
          </w:p>
          <w:p w14:paraId="4C572381" w14:textId="77777777" w:rsidR="00E04B49" w:rsidRDefault="00E04B49" w:rsidP="00E04B49">
            <w:pPr>
              <w:pStyle w:val="Standard"/>
              <w:jc w:val="both"/>
              <w:rPr>
                <w:rFonts w:cs="Times New Roman"/>
                <w:sz w:val="22"/>
              </w:rPr>
            </w:pPr>
          </w:p>
          <w:p w14:paraId="278CEE87" w14:textId="07789EFD" w:rsidR="00173383" w:rsidRPr="000054D9" w:rsidRDefault="00E04B49" w:rsidP="00E04B49">
            <w:pPr>
              <w:pStyle w:val="Standard"/>
              <w:jc w:val="both"/>
              <w:rPr>
                <w:sz w:val="22"/>
              </w:rPr>
            </w:pPr>
            <w:r>
              <w:rPr>
                <w:rFonts w:cs="Times New Roman"/>
                <w:sz w:val="22"/>
              </w:rPr>
              <w:t>Atbilstoši precizēta</w:t>
            </w:r>
            <w:r w:rsidRPr="00E66B79">
              <w:rPr>
                <w:rFonts w:cs="Times New Roman"/>
                <w:sz w:val="22"/>
              </w:rPr>
              <w:t xml:space="preserve"> </w:t>
            </w:r>
            <w:r>
              <w:rPr>
                <w:rFonts w:cs="Times New Roman"/>
                <w:sz w:val="22"/>
              </w:rPr>
              <w:t>kritērija Nr. 4</w:t>
            </w:r>
            <w:r w:rsidRPr="00E66B79">
              <w:rPr>
                <w:rFonts w:cs="Times New Roman"/>
                <w:sz w:val="22"/>
              </w:rPr>
              <w:t>.</w:t>
            </w:r>
            <w:r>
              <w:rPr>
                <w:rFonts w:cs="Times New Roman"/>
                <w:sz w:val="22"/>
              </w:rPr>
              <w:t>5</w:t>
            </w:r>
            <w:r w:rsidRPr="00E66B79">
              <w:rPr>
                <w:rFonts w:cs="Times New Roman"/>
                <w:sz w:val="22"/>
              </w:rPr>
              <w:t>.</w:t>
            </w:r>
            <w:r>
              <w:rPr>
                <w:rFonts w:cs="Times New Roman"/>
                <w:sz w:val="22"/>
              </w:rPr>
              <w:t xml:space="preserve"> </w:t>
            </w:r>
            <w:r w:rsidRPr="00E66B79">
              <w:rPr>
                <w:rFonts w:cs="Times New Roman"/>
                <w:sz w:val="22"/>
              </w:rPr>
              <w:t>piemērošanas metodika.</w:t>
            </w:r>
          </w:p>
        </w:tc>
        <w:tc>
          <w:tcPr>
            <w:tcW w:w="2790" w:type="dxa"/>
          </w:tcPr>
          <w:p w14:paraId="64A77AD8" w14:textId="77777777" w:rsidR="00173383" w:rsidRPr="000054D9" w:rsidRDefault="00173383" w:rsidP="00173383">
            <w:pPr>
              <w:pStyle w:val="Standard"/>
              <w:jc w:val="both"/>
              <w:rPr>
                <w:sz w:val="22"/>
              </w:rPr>
            </w:pPr>
          </w:p>
        </w:tc>
      </w:tr>
      <w:tr w:rsidR="00173383" w:rsidRPr="000054D9" w14:paraId="620727C4" w14:textId="77777777" w:rsidTr="6692F8A4">
        <w:tc>
          <w:tcPr>
            <w:tcW w:w="13948" w:type="dxa"/>
            <w:gridSpan w:val="5"/>
            <w:shd w:val="clear" w:color="auto" w:fill="C5E0B3" w:themeFill="accent6" w:themeFillTint="66"/>
          </w:tcPr>
          <w:p w14:paraId="284B0B8F" w14:textId="6BBBA3ED" w:rsidR="00173383" w:rsidRPr="000054D9" w:rsidRDefault="00173383" w:rsidP="00173383">
            <w:pPr>
              <w:pStyle w:val="Standard"/>
              <w:jc w:val="both"/>
              <w:rPr>
                <w:rFonts w:cs="Times New Roman"/>
                <w:b/>
                <w:bCs/>
                <w:sz w:val="22"/>
              </w:rPr>
            </w:pPr>
            <w:r w:rsidRPr="000054D9">
              <w:rPr>
                <w:rFonts w:cs="Times New Roman"/>
                <w:b/>
                <w:bCs/>
                <w:sz w:val="22"/>
              </w:rPr>
              <w:t>Par kopsavilkumu</w:t>
            </w:r>
          </w:p>
        </w:tc>
      </w:tr>
      <w:tr w:rsidR="00173383" w:rsidRPr="000054D9" w14:paraId="4FD5C402" w14:textId="77777777" w:rsidTr="6692F8A4">
        <w:tc>
          <w:tcPr>
            <w:tcW w:w="562" w:type="dxa"/>
          </w:tcPr>
          <w:p w14:paraId="42435075" w14:textId="77777777" w:rsidR="00173383" w:rsidRPr="000054D9" w:rsidRDefault="00173383" w:rsidP="00173383">
            <w:pPr>
              <w:pStyle w:val="Standard"/>
              <w:numPr>
                <w:ilvl w:val="0"/>
                <w:numId w:val="13"/>
              </w:numPr>
              <w:ind w:hanging="1049"/>
              <w:jc w:val="center"/>
              <w:rPr>
                <w:rFonts w:cs="Times New Roman"/>
                <w:b/>
                <w:bCs/>
                <w:sz w:val="22"/>
              </w:rPr>
            </w:pPr>
          </w:p>
        </w:tc>
        <w:tc>
          <w:tcPr>
            <w:tcW w:w="3119" w:type="dxa"/>
          </w:tcPr>
          <w:p w14:paraId="2B727F3B" w14:textId="08F90913" w:rsidR="00173383" w:rsidRPr="000054D9" w:rsidRDefault="00173383" w:rsidP="00173383">
            <w:pPr>
              <w:pStyle w:val="Standard"/>
              <w:jc w:val="both"/>
              <w:rPr>
                <w:rFonts w:cs="Times New Roman"/>
                <w:b/>
                <w:bCs/>
                <w:sz w:val="22"/>
              </w:rPr>
            </w:pPr>
            <w:r>
              <w:rPr>
                <w:rFonts w:cs="Times New Roman"/>
                <w:b/>
                <w:bCs/>
                <w:sz w:val="22"/>
              </w:rPr>
              <w:t>Vispārīgi</w:t>
            </w:r>
          </w:p>
        </w:tc>
        <w:tc>
          <w:tcPr>
            <w:tcW w:w="4687" w:type="dxa"/>
          </w:tcPr>
          <w:p w14:paraId="2FFA2C55" w14:textId="77777777" w:rsidR="00173383" w:rsidRPr="005E6D0A" w:rsidRDefault="00173383" w:rsidP="00173383">
            <w:pPr>
              <w:pStyle w:val="Standard"/>
              <w:jc w:val="both"/>
              <w:rPr>
                <w:rFonts w:cs="Times New Roman"/>
                <w:b/>
                <w:bCs/>
                <w:sz w:val="22"/>
              </w:rPr>
            </w:pPr>
            <w:r w:rsidRPr="005E6D0A">
              <w:rPr>
                <w:rFonts w:cs="Times New Roman"/>
                <w:b/>
                <w:bCs/>
                <w:sz w:val="22"/>
              </w:rPr>
              <w:t>Finanšu ministrija (KAKD)</w:t>
            </w:r>
          </w:p>
          <w:p w14:paraId="6ED4AEB7" w14:textId="77777777" w:rsidR="00173383" w:rsidRDefault="00173383" w:rsidP="00173383">
            <w:pPr>
              <w:pStyle w:val="Standard"/>
              <w:jc w:val="both"/>
              <w:rPr>
                <w:rFonts w:cs="Times New Roman"/>
                <w:sz w:val="22"/>
              </w:rPr>
            </w:pPr>
          </w:p>
          <w:p w14:paraId="6287D565" w14:textId="577A13A5" w:rsidR="00173383" w:rsidRPr="000054D9" w:rsidRDefault="00173383" w:rsidP="00173383">
            <w:pPr>
              <w:pStyle w:val="Standard"/>
              <w:jc w:val="both"/>
              <w:rPr>
                <w:rFonts w:cs="Times New Roman"/>
                <w:sz w:val="22"/>
              </w:rPr>
            </w:pPr>
            <w:r w:rsidRPr="005E6D0A">
              <w:rPr>
                <w:rFonts w:cs="Times New Roman"/>
                <w:sz w:val="22"/>
              </w:rPr>
              <w:t>Lūdzam precizēt kopsavilkuma 6.sadaļā par komercdarbības atbalsta esamību SAM iekļauto informāciju 1.2.apakšpunktā, aizstājot saikli “jo” ar saikli “ja” atbilstoši MK noteikumu 42.2.punktā ietvertajam nosacījumiem. Skaidrojam, ka pirms projekta iesnieguma apstiprināšanas, jāizvērtē</w:t>
            </w:r>
            <w:proofErr w:type="gramStart"/>
            <w:r w:rsidRPr="005E6D0A">
              <w:rPr>
                <w:rFonts w:cs="Times New Roman"/>
                <w:sz w:val="22"/>
              </w:rPr>
              <w:t xml:space="preserve"> vai atbalsts nav uzskatāms par komercdarbības atbalstu un gadījumā, ja projektam ir saimniecisks raksturs, tas nav kvalificējams kā atbalsts komercdarbībai, ja projektam nav ietekmes uz konkurenci un tirdzniecību Eiropas Savienības iekšējā tirgū</w:t>
            </w:r>
            <w:proofErr w:type="gramEnd"/>
            <w:r w:rsidRPr="005E6D0A">
              <w:rPr>
                <w:rFonts w:cs="Times New Roman"/>
                <w:sz w:val="22"/>
              </w:rPr>
              <w:t>.</w:t>
            </w:r>
          </w:p>
        </w:tc>
        <w:tc>
          <w:tcPr>
            <w:tcW w:w="2790" w:type="dxa"/>
          </w:tcPr>
          <w:p w14:paraId="26AE3DFA" w14:textId="77777777" w:rsidR="00AC6A4D" w:rsidRDefault="00AC6A4D" w:rsidP="00AC6A4D">
            <w:pPr>
              <w:pStyle w:val="Standard"/>
              <w:jc w:val="both"/>
              <w:rPr>
                <w:b/>
                <w:bCs/>
                <w:sz w:val="22"/>
              </w:rPr>
            </w:pPr>
            <w:r w:rsidRPr="00AA7DB5">
              <w:rPr>
                <w:b/>
                <w:bCs/>
                <w:sz w:val="22"/>
              </w:rPr>
              <w:t>Ņemts vērā</w:t>
            </w:r>
          </w:p>
          <w:p w14:paraId="058C5613" w14:textId="77777777" w:rsidR="00AC6A4D" w:rsidRDefault="00AC6A4D" w:rsidP="00AC6A4D">
            <w:pPr>
              <w:pStyle w:val="Standard"/>
              <w:jc w:val="both"/>
              <w:rPr>
                <w:rFonts w:cs="Times New Roman"/>
                <w:sz w:val="22"/>
              </w:rPr>
            </w:pPr>
          </w:p>
          <w:p w14:paraId="1012712A" w14:textId="14F78267" w:rsidR="00173383" w:rsidRPr="000054D9" w:rsidRDefault="00AC6A4D" w:rsidP="00AC6A4D">
            <w:pPr>
              <w:pStyle w:val="Standard"/>
              <w:jc w:val="both"/>
              <w:rPr>
                <w:rFonts w:cs="Times New Roman"/>
                <w:sz w:val="22"/>
              </w:rPr>
            </w:pPr>
            <w:r>
              <w:rPr>
                <w:rFonts w:cs="Times New Roman"/>
                <w:sz w:val="22"/>
              </w:rPr>
              <w:t>Atbilstoši precizēta</w:t>
            </w:r>
            <w:r w:rsidRPr="00E66B79">
              <w:rPr>
                <w:rFonts w:cs="Times New Roman"/>
                <w:sz w:val="22"/>
              </w:rPr>
              <w:t xml:space="preserve"> </w:t>
            </w:r>
            <w:r>
              <w:rPr>
                <w:rFonts w:cs="Times New Roman"/>
                <w:sz w:val="22"/>
              </w:rPr>
              <w:t>kopsavilkuma 6. punktā norādītā informācija.</w:t>
            </w:r>
          </w:p>
        </w:tc>
        <w:tc>
          <w:tcPr>
            <w:tcW w:w="2790" w:type="dxa"/>
          </w:tcPr>
          <w:p w14:paraId="2E8C1A32" w14:textId="77777777" w:rsidR="00173383" w:rsidRPr="000054D9" w:rsidRDefault="00173383" w:rsidP="00173383">
            <w:pPr>
              <w:pStyle w:val="Standard"/>
              <w:jc w:val="both"/>
              <w:rPr>
                <w:rFonts w:cs="Times New Roman"/>
                <w:sz w:val="22"/>
              </w:rPr>
            </w:pPr>
          </w:p>
        </w:tc>
      </w:tr>
      <w:tr w:rsidR="00173383" w:rsidRPr="000054D9" w14:paraId="4517512B" w14:textId="77777777" w:rsidTr="6692F8A4">
        <w:tc>
          <w:tcPr>
            <w:tcW w:w="562" w:type="dxa"/>
          </w:tcPr>
          <w:p w14:paraId="3FE2A0BE" w14:textId="77777777" w:rsidR="00173383" w:rsidRPr="000054D9" w:rsidRDefault="00173383" w:rsidP="00173383">
            <w:pPr>
              <w:pStyle w:val="Standard"/>
              <w:numPr>
                <w:ilvl w:val="0"/>
                <w:numId w:val="13"/>
              </w:numPr>
              <w:ind w:hanging="1049"/>
              <w:jc w:val="center"/>
              <w:rPr>
                <w:rFonts w:cs="Times New Roman"/>
                <w:b/>
                <w:bCs/>
                <w:sz w:val="22"/>
              </w:rPr>
            </w:pPr>
          </w:p>
        </w:tc>
        <w:tc>
          <w:tcPr>
            <w:tcW w:w="3119" w:type="dxa"/>
          </w:tcPr>
          <w:p w14:paraId="614B2E34" w14:textId="7D22A483" w:rsidR="00173383" w:rsidRPr="00046600" w:rsidRDefault="00173383" w:rsidP="00173383">
            <w:pPr>
              <w:pStyle w:val="Standard"/>
              <w:jc w:val="both"/>
              <w:rPr>
                <w:rFonts w:cs="Times New Roman"/>
                <w:sz w:val="22"/>
              </w:rPr>
            </w:pPr>
            <w:r w:rsidRPr="00046600">
              <w:rPr>
                <w:sz w:val="22"/>
              </w:rPr>
              <w:t>5)</w:t>
            </w:r>
            <w:r w:rsidRPr="00046600">
              <w:rPr>
                <w:sz w:val="22"/>
              </w:rPr>
              <w:tab/>
              <w:t xml:space="preserve">atlasei pieejamais finansējums, t.sk. ES fondu </w:t>
            </w:r>
            <w:r w:rsidRPr="00046600">
              <w:rPr>
                <w:sz w:val="22"/>
              </w:rPr>
              <w:lastRenderedPageBreak/>
              <w:t>finansējums un nacionālais līdzfinansējums;</w:t>
            </w:r>
            <w:r w:rsidRPr="00046600">
              <w:rPr>
                <w:sz w:val="22"/>
              </w:rPr>
              <w:tab/>
            </w:r>
          </w:p>
          <w:p w14:paraId="743D6752" w14:textId="573F67F4" w:rsidR="00173383" w:rsidRPr="00046600" w:rsidRDefault="00173383" w:rsidP="00173383">
            <w:pPr>
              <w:pStyle w:val="Standard"/>
              <w:jc w:val="both"/>
              <w:rPr>
                <w:rFonts w:cs="Times New Roman"/>
                <w:sz w:val="22"/>
              </w:rPr>
            </w:pPr>
          </w:p>
        </w:tc>
        <w:tc>
          <w:tcPr>
            <w:tcW w:w="4687" w:type="dxa"/>
          </w:tcPr>
          <w:p w14:paraId="350E3711" w14:textId="77777777" w:rsidR="00173383" w:rsidRPr="00046600" w:rsidRDefault="00173383" w:rsidP="00173383">
            <w:pPr>
              <w:pStyle w:val="Standard"/>
              <w:jc w:val="both"/>
              <w:rPr>
                <w:b/>
                <w:bCs/>
                <w:sz w:val="22"/>
              </w:rPr>
            </w:pPr>
            <w:r w:rsidRPr="00046600">
              <w:rPr>
                <w:b/>
                <w:bCs/>
                <w:sz w:val="22"/>
              </w:rPr>
              <w:lastRenderedPageBreak/>
              <w:t>Finanšu ministrija</w:t>
            </w:r>
          </w:p>
          <w:p w14:paraId="7D635C37" w14:textId="77777777" w:rsidR="00173383" w:rsidRPr="00046600" w:rsidRDefault="00173383" w:rsidP="00173383">
            <w:pPr>
              <w:pStyle w:val="Standard"/>
              <w:jc w:val="both"/>
              <w:rPr>
                <w:b/>
                <w:bCs/>
                <w:sz w:val="22"/>
              </w:rPr>
            </w:pPr>
          </w:p>
          <w:p w14:paraId="72B1ADDF" w14:textId="67D5B066" w:rsidR="00173383" w:rsidRPr="00046600" w:rsidRDefault="00173383" w:rsidP="00173383">
            <w:pPr>
              <w:pStyle w:val="Standard"/>
              <w:jc w:val="both"/>
              <w:rPr>
                <w:rFonts w:cs="Times New Roman"/>
                <w:sz w:val="22"/>
              </w:rPr>
            </w:pPr>
            <w:r w:rsidRPr="00046600">
              <w:rPr>
                <w:sz w:val="22"/>
              </w:rPr>
              <w:lastRenderedPageBreak/>
              <w:t>Lūdzam precizēt kopsavilkuma 5.punktā norādīto specifiskā atbalsta ietvaros pieejamā kopējā finansējuma apmēru atbilstoši ierosinātajiem grozījumiem Eiropas Savienības kohēzijas politikas programmā 2021.-</w:t>
            </w:r>
            <w:proofErr w:type="gramStart"/>
            <w:r w:rsidRPr="00046600">
              <w:rPr>
                <w:sz w:val="22"/>
              </w:rPr>
              <w:t>2027.gadam</w:t>
            </w:r>
            <w:proofErr w:type="gramEnd"/>
            <w:r w:rsidRPr="00046600">
              <w:rPr>
                <w:sz w:val="22"/>
              </w:rPr>
              <w:t>.</w:t>
            </w:r>
          </w:p>
        </w:tc>
        <w:tc>
          <w:tcPr>
            <w:tcW w:w="2790" w:type="dxa"/>
          </w:tcPr>
          <w:p w14:paraId="02FAEFBF" w14:textId="77777777" w:rsidR="006E5CD7" w:rsidRDefault="006E5CD7" w:rsidP="006E5CD7">
            <w:pPr>
              <w:pStyle w:val="Standard"/>
              <w:jc w:val="both"/>
              <w:rPr>
                <w:b/>
                <w:bCs/>
                <w:sz w:val="22"/>
              </w:rPr>
            </w:pPr>
            <w:r w:rsidRPr="00AA7DB5">
              <w:rPr>
                <w:b/>
                <w:bCs/>
                <w:sz w:val="22"/>
              </w:rPr>
              <w:lastRenderedPageBreak/>
              <w:t>Ņemts vērā</w:t>
            </w:r>
          </w:p>
          <w:p w14:paraId="6FCC24BC" w14:textId="77777777" w:rsidR="006E5CD7" w:rsidRDefault="006E5CD7" w:rsidP="006E5CD7">
            <w:pPr>
              <w:pStyle w:val="Standard"/>
              <w:jc w:val="both"/>
              <w:rPr>
                <w:rFonts w:cs="Times New Roman"/>
                <w:sz w:val="22"/>
              </w:rPr>
            </w:pPr>
          </w:p>
          <w:p w14:paraId="2568323C" w14:textId="5F4FF354" w:rsidR="00173383" w:rsidRPr="000054D9" w:rsidRDefault="006E5CD7" w:rsidP="006E5CD7">
            <w:pPr>
              <w:pStyle w:val="Standard"/>
              <w:jc w:val="both"/>
              <w:rPr>
                <w:rFonts w:cs="Times New Roman"/>
                <w:sz w:val="22"/>
              </w:rPr>
            </w:pPr>
            <w:r>
              <w:rPr>
                <w:rFonts w:cs="Times New Roman"/>
                <w:sz w:val="22"/>
              </w:rPr>
              <w:lastRenderedPageBreak/>
              <w:t>Atbilstoši precizēts</w:t>
            </w:r>
            <w:r w:rsidRPr="00E66B79">
              <w:rPr>
                <w:rFonts w:cs="Times New Roman"/>
                <w:sz w:val="22"/>
              </w:rPr>
              <w:t xml:space="preserve"> </w:t>
            </w:r>
            <w:r>
              <w:rPr>
                <w:rFonts w:cs="Times New Roman"/>
                <w:sz w:val="22"/>
              </w:rPr>
              <w:t xml:space="preserve">kopsavilkuma 5. punktā norādītais </w:t>
            </w:r>
            <w:r w:rsidRPr="00046600">
              <w:rPr>
                <w:sz w:val="22"/>
              </w:rPr>
              <w:t>specifiskā atbalsta ietvaros pieejam</w:t>
            </w:r>
            <w:r>
              <w:rPr>
                <w:sz w:val="22"/>
              </w:rPr>
              <w:t>ais</w:t>
            </w:r>
            <w:r w:rsidRPr="00046600">
              <w:rPr>
                <w:sz w:val="22"/>
              </w:rPr>
              <w:t xml:space="preserve"> kopējā finansējuma apmēr</w:t>
            </w:r>
            <w:r>
              <w:rPr>
                <w:sz w:val="22"/>
              </w:rPr>
              <w:t>s.</w:t>
            </w:r>
          </w:p>
        </w:tc>
        <w:tc>
          <w:tcPr>
            <w:tcW w:w="2790" w:type="dxa"/>
          </w:tcPr>
          <w:p w14:paraId="295BE2C4" w14:textId="77777777" w:rsidR="00173383" w:rsidRPr="000054D9" w:rsidRDefault="00173383" w:rsidP="00173383">
            <w:pPr>
              <w:pStyle w:val="Standard"/>
              <w:jc w:val="both"/>
              <w:rPr>
                <w:rFonts w:cs="Times New Roman"/>
                <w:sz w:val="22"/>
              </w:rPr>
            </w:pPr>
          </w:p>
        </w:tc>
      </w:tr>
    </w:tbl>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A57181">
      <w:headerReference w:type="default" r:id="rId12"/>
      <w:footerReference w:type="default" r:id="rId13"/>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7DD9" w14:textId="77777777" w:rsidR="00BA461D" w:rsidRDefault="00BA461D" w:rsidP="00137F01">
      <w:r>
        <w:separator/>
      </w:r>
    </w:p>
  </w:endnote>
  <w:endnote w:type="continuationSeparator" w:id="0">
    <w:p w14:paraId="57380EB9" w14:textId="77777777" w:rsidR="00BA461D" w:rsidRDefault="00BA461D" w:rsidP="001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0398"/>
      <w:docPartObj>
        <w:docPartGallery w:val="Page Numbers (Bottom of Page)"/>
        <w:docPartUnique/>
      </w:docPartObj>
    </w:sdtPr>
    <w:sdtEndPr>
      <w:rPr>
        <w:noProof/>
      </w:rPr>
    </w:sdtEndPr>
    <w:sdtContent>
      <w:p w14:paraId="717C0BD6" w14:textId="1EFABF2C" w:rsidR="00A57181" w:rsidRDefault="00A57181">
        <w:pPr>
          <w:pStyle w:val="Kjene"/>
          <w:jc w:val="center"/>
        </w:pPr>
        <w:r>
          <w:fldChar w:fldCharType="begin"/>
        </w:r>
        <w:r>
          <w:instrText xml:space="preserve"> PAGE   \* MERGEFORMAT </w:instrText>
        </w:r>
        <w:r>
          <w:fldChar w:fldCharType="separate"/>
        </w:r>
        <w:r w:rsidR="00041E01">
          <w:rPr>
            <w:noProof/>
          </w:rPr>
          <w:t>1</w:t>
        </w:r>
        <w:r>
          <w:rPr>
            <w:noProof/>
          </w:rPr>
          <w:fldChar w:fldCharType="end"/>
        </w:r>
      </w:p>
    </w:sdtContent>
  </w:sdt>
  <w:p w14:paraId="183E44C5" w14:textId="77777777" w:rsidR="00BF5830" w:rsidRDefault="00BF583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C52B" w14:textId="77777777" w:rsidR="00BA461D" w:rsidRDefault="00BA461D" w:rsidP="00137F01">
      <w:r>
        <w:separator/>
      </w:r>
    </w:p>
  </w:footnote>
  <w:footnote w:type="continuationSeparator" w:id="0">
    <w:p w14:paraId="244D6741" w14:textId="77777777" w:rsidR="00BA461D" w:rsidRDefault="00BA461D" w:rsidP="0013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089" w14:textId="35D93AFB" w:rsidR="00BF5830" w:rsidRPr="00137F01" w:rsidRDefault="00340749" w:rsidP="00911740">
    <w:pPr>
      <w:pStyle w:val="Galvene"/>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4-04-11T00:00:00Z">
          <w:dateFormat w:val="dd.MM.yyyy"/>
          <w:lid w:val="lv-LV"/>
          <w:storeMappedDataAs w:val="dateTime"/>
          <w:calendar w:val="gregorian"/>
        </w:date>
      </w:sdtPr>
      <w:sdtEndPr/>
      <w:sdtContent>
        <w:r w:rsidR="000C25A6">
          <w:rPr>
            <w:rFonts w:cs="Times New Roman"/>
            <w:i/>
            <w:szCs w:val="24"/>
          </w:rPr>
          <w:t>11.04.2024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0"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37229826">
    <w:abstractNumId w:val="5"/>
  </w:num>
  <w:num w:numId="2" w16cid:durableId="1933389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73000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465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6440858">
    <w:abstractNumId w:val="9"/>
  </w:num>
  <w:num w:numId="6" w16cid:durableId="1026441568">
    <w:abstractNumId w:val="1"/>
  </w:num>
  <w:num w:numId="7" w16cid:durableId="1185284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7363151">
    <w:abstractNumId w:val="4"/>
  </w:num>
  <w:num w:numId="9" w16cid:durableId="575751574">
    <w:abstractNumId w:val="6"/>
  </w:num>
  <w:num w:numId="10" w16cid:durableId="1268656433">
    <w:abstractNumId w:val="0"/>
  </w:num>
  <w:num w:numId="11" w16cid:durableId="437527120">
    <w:abstractNumId w:val="3"/>
  </w:num>
  <w:num w:numId="12" w16cid:durableId="2035842421">
    <w:abstractNumId w:val="10"/>
  </w:num>
  <w:num w:numId="13" w16cid:durableId="1454983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03916"/>
    <w:rsid w:val="000054D9"/>
    <w:rsid w:val="00041E01"/>
    <w:rsid w:val="0004585E"/>
    <w:rsid w:val="00046600"/>
    <w:rsid w:val="00076341"/>
    <w:rsid w:val="000C25A6"/>
    <w:rsid w:val="000F1EAB"/>
    <w:rsid w:val="00137F01"/>
    <w:rsid w:val="00165246"/>
    <w:rsid w:val="00173383"/>
    <w:rsid w:val="001964AF"/>
    <w:rsid w:val="001A26E6"/>
    <w:rsid w:val="00236FC4"/>
    <w:rsid w:val="00256DF3"/>
    <w:rsid w:val="002B32B8"/>
    <w:rsid w:val="00340749"/>
    <w:rsid w:val="00367029"/>
    <w:rsid w:val="003B3E6F"/>
    <w:rsid w:val="003C1804"/>
    <w:rsid w:val="003E6473"/>
    <w:rsid w:val="003F16D6"/>
    <w:rsid w:val="004353B2"/>
    <w:rsid w:val="00447EA3"/>
    <w:rsid w:val="00463EA0"/>
    <w:rsid w:val="00472434"/>
    <w:rsid w:val="004C5243"/>
    <w:rsid w:val="004C5D87"/>
    <w:rsid w:val="004F36A2"/>
    <w:rsid w:val="005120F3"/>
    <w:rsid w:val="0058629D"/>
    <w:rsid w:val="005E6D0A"/>
    <w:rsid w:val="00663B65"/>
    <w:rsid w:val="006C505F"/>
    <w:rsid w:val="006E5CD7"/>
    <w:rsid w:val="00702251"/>
    <w:rsid w:val="007543B2"/>
    <w:rsid w:val="00754A0E"/>
    <w:rsid w:val="00766F37"/>
    <w:rsid w:val="007A1396"/>
    <w:rsid w:val="007C6C9E"/>
    <w:rsid w:val="007E5555"/>
    <w:rsid w:val="00804F5D"/>
    <w:rsid w:val="008403C6"/>
    <w:rsid w:val="008B4943"/>
    <w:rsid w:val="008C0760"/>
    <w:rsid w:val="008F25ED"/>
    <w:rsid w:val="008F598F"/>
    <w:rsid w:val="00944709"/>
    <w:rsid w:val="00952467"/>
    <w:rsid w:val="0095483D"/>
    <w:rsid w:val="00967E90"/>
    <w:rsid w:val="00972495"/>
    <w:rsid w:val="009A2A2E"/>
    <w:rsid w:val="00A11DBD"/>
    <w:rsid w:val="00A45B75"/>
    <w:rsid w:val="00A57181"/>
    <w:rsid w:val="00A817DD"/>
    <w:rsid w:val="00A82D29"/>
    <w:rsid w:val="00A97CF9"/>
    <w:rsid w:val="00AA7DB5"/>
    <w:rsid w:val="00AC6A4D"/>
    <w:rsid w:val="00AC7E74"/>
    <w:rsid w:val="00B133DA"/>
    <w:rsid w:val="00B258B5"/>
    <w:rsid w:val="00B95A96"/>
    <w:rsid w:val="00BA461D"/>
    <w:rsid w:val="00BF5830"/>
    <w:rsid w:val="00C058FD"/>
    <w:rsid w:val="00C07B7B"/>
    <w:rsid w:val="00C47ADF"/>
    <w:rsid w:val="00C51803"/>
    <w:rsid w:val="00C60575"/>
    <w:rsid w:val="00CA1C7D"/>
    <w:rsid w:val="00CC3F19"/>
    <w:rsid w:val="00CD7562"/>
    <w:rsid w:val="00CF2BBC"/>
    <w:rsid w:val="00CF31B7"/>
    <w:rsid w:val="00D024DF"/>
    <w:rsid w:val="00D217AD"/>
    <w:rsid w:val="00D413E9"/>
    <w:rsid w:val="00DC6D52"/>
    <w:rsid w:val="00DD3987"/>
    <w:rsid w:val="00E0003B"/>
    <w:rsid w:val="00E04B49"/>
    <w:rsid w:val="00E346AF"/>
    <w:rsid w:val="00E6500A"/>
    <w:rsid w:val="00E84342"/>
    <w:rsid w:val="00F14914"/>
    <w:rsid w:val="00F34F09"/>
    <w:rsid w:val="00F651BC"/>
    <w:rsid w:val="00F9550C"/>
    <w:rsid w:val="00FC22D2"/>
    <w:rsid w:val="018AA9DB"/>
    <w:rsid w:val="0321B4DF"/>
    <w:rsid w:val="03267A3C"/>
    <w:rsid w:val="065E1AFE"/>
    <w:rsid w:val="0C9A6AB3"/>
    <w:rsid w:val="0EA042FA"/>
    <w:rsid w:val="0F3C9C40"/>
    <w:rsid w:val="0F582A79"/>
    <w:rsid w:val="14DDD546"/>
    <w:rsid w:val="15AE43A0"/>
    <w:rsid w:val="1B367514"/>
    <w:rsid w:val="1DB95585"/>
    <w:rsid w:val="22CBFB20"/>
    <w:rsid w:val="23854EF8"/>
    <w:rsid w:val="2464727D"/>
    <w:rsid w:val="29CBDA22"/>
    <w:rsid w:val="2B4F06B1"/>
    <w:rsid w:val="2C405BD1"/>
    <w:rsid w:val="2C7CFE3B"/>
    <w:rsid w:val="2D0A723A"/>
    <w:rsid w:val="2D6FF907"/>
    <w:rsid w:val="3045E446"/>
    <w:rsid w:val="3850F62B"/>
    <w:rsid w:val="3BF7390A"/>
    <w:rsid w:val="41FFC5F7"/>
    <w:rsid w:val="42763B93"/>
    <w:rsid w:val="461B4F9B"/>
    <w:rsid w:val="46D3371A"/>
    <w:rsid w:val="4BAB6D9A"/>
    <w:rsid w:val="4EDE48FF"/>
    <w:rsid w:val="4F7A6002"/>
    <w:rsid w:val="52090357"/>
    <w:rsid w:val="53FFEAB0"/>
    <w:rsid w:val="54D89222"/>
    <w:rsid w:val="54DFC280"/>
    <w:rsid w:val="580BF125"/>
    <w:rsid w:val="5CE7344B"/>
    <w:rsid w:val="5D785C5F"/>
    <w:rsid w:val="5FD3CCBC"/>
    <w:rsid w:val="63DEF2C3"/>
    <w:rsid w:val="6692F8A4"/>
    <w:rsid w:val="672E7A46"/>
    <w:rsid w:val="67320BD6"/>
    <w:rsid w:val="6A5588D9"/>
    <w:rsid w:val="753CCC43"/>
    <w:rsid w:val="7A970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D9704F"/>
  <w15:chartTrackingRefBased/>
  <w15:docId w15:val="{FE1474CF-4EA2-479A-B552-19F31A4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Virsraksts1">
    <w:name w:val="heading 1"/>
    <w:next w:val="Parasts"/>
    <w:link w:val="Virsraksts1Rakstz"/>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Sarakstarindkopa">
    <w:name w:val="List Paragraph"/>
    <w:aliases w:val="H&amp;P List Paragraph,2,Strip,Saraksta rindkopa1,Normal bullet 2,Bullet list,List Paragraph1"/>
    <w:basedOn w:val="Standard"/>
    <w:link w:val="SarakstarindkopaRakstz"/>
    <w:uiPriority w:val="34"/>
    <w:qFormat/>
    <w:rsid w:val="00137F01"/>
    <w:pPr>
      <w:ind w:left="720"/>
    </w:pPr>
  </w:style>
  <w:style w:type="paragraph" w:styleId="Galvene">
    <w:name w:val="header"/>
    <w:basedOn w:val="Parasts"/>
    <w:link w:val="GalveneRakstz"/>
    <w:uiPriority w:val="99"/>
    <w:unhideWhenUsed/>
    <w:rsid w:val="00137F01"/>
    <w:pPr>
      <w:tabs>
        <w:tab w:val="center" w:pos="4153"/>
        <w:tab w:val="right" w:pos="8306"/>
      </w:tabs>
    </w:pPr>
  </w:style>
  <w:style w:type="character" w:customStyle="1" w:styleId="GalveneRakstz">
    <w:name w:val="Galvene Rakstz."/>
    <w:basedOn w:val="Noklusjumarindkopasfonts"/>
    <w:link w:val="Galvene"/>
    <w:uiPriority w:val="99"/>
    <w:rsid w:val="00137F01"/>
    <w:rPr>
      <w:rFonts w:eastAsia="SimSun" w:cs="F"/>
      <w:kern w:val="3"/>
      <w:szCs w:val="22"/>
      <w14:ligatures w14:val="none"/>
    </w:rPr>
  </w:style>
  <w:style w:type="paragraph" w:styleId="Kjene">
    <w:name w:val="footer"/>
    <w:basedOn w:val="Parasts"/>
    <w:link w:val="KjeneRakstz"/>
    <w:uiPriority w:val="99"/>
    <w:unhideWhenUsed/>
    <w:rsid w:val="00137F01"/>
    <w:pPr>
      <w:tabs>
        <w:tab w:val="center" w:pos="4153"/>
        <w:tab w:val="right" w:pos="8306"/>
      </w:tabs>
    </w:pPr>
  </w:style>
  <w:style w:type="character" w:customStyle="1" w:styleId="KjeneRakstz">
    <w:name w:val="Kājene Rakstz."/>
    <w:basedOn w:val="Noklusjumarindkopasfonts"/>
    <w:link w:val="Kjene"/>
    <w:uiPriority w:val="99"/>
    <w:rsid w:val="00137F01"/>
    <w:rPr>
      <w:rFonts w:eastAsia="SimSun" w:cs="F"/>
      <w:kern w:val="3"/>
      <w:szCs w:val="22"/>
      <w14:ligatures w14:val="none"/>
    </w:rPr>
  </w:style>
  <w:style w:type="character" w:styleId="Komentraatsauce">
    <w:name w:val="annotation reference"/>
    <w:basedOn w:val="Noklusjumarindkopasfonts"/>
    <w:uiPriority w:val="99"/>
    <w:semiHidden/>
    <w:unhideWhenUsed/>
    <w:rsid w:val="00137F01"/>
    <w:rPr>
      <w:sz w:val="16"/>
      <w:szCs w:val="16"/>
    </w:rPr>
  </w:style>
  <w:style w:type="paragraph" w:styleId="Komentrateksts">
    <w:name w:val="annotation text"/>
    <w:basedOn w:val="Parasts"/>
    <w:link w:val="KomentratekstsRakstz"/>
    <w:uiPriority w:val="99"/>
    <w:unhideWhenUsed/>
    <w:rsid w:val="00137F01"/>
    <w:rPr>
      <w:sz w:val="20"/>
      <w:szCs w:val="20"/>
    </w:rPr>
  </w:style>
  <w:style w:type="character" w:customStyle="1" w:styleId="KomentratekstsRakstz">
    <w:name w:val="Komentāra teksts Rakstz."/>
    <w:basedOn w:val="Noklusjumarindkopasfonts"/>
    <w:link w:val="Komentrateksts"/>
    <w:uiPriority w:val="99"/>
    <w:rsid w:val="00137F01"/>
    <w:rPr>
      <w:rFonts w:eastAsia="SimSun" w:cs="F"/>
      <w:kern w:val="3"/>
      <w:sz w:val="20"/>
      <w:szCs w:val="20"/>
      <w14:ligatures w14:val="none"/>
    </w:rPr>
  </w:style>
  <w:style w:type="paragraph" w:styleId="Komentratma">
    <w:name w:val="annotation subject"/>
    <w:basedOn w:val="Komentrateksts"/>
    <w:next w:val="Komentrateksts"/>
    <w:link w:val="KomentratmaRakstz"/>
    <w:uiPriority w:val="99"/>
    <w:semiHidden/>
    <w:unhideWhenUsed/>
    <w:rsid w:val="00137F01"/>
    <w:rPr>
      <w:b/>
      <w:bCs/>
    </w:rPr>
  </w:style>
  <w:style w:type="character" w:customStyle="1" w:styleId="KomentratmaRakstz">
    <w:name w:val="Komentāra tēma Rakstz."/>
    <w:basedOn w:val="KomentratekstsRakstz"/>
    <w:link w:val="Komentratma"/>
    <w:uiPriority w:val="99"/>
    <w:semiHidden/>
    <w:rsid w:val="00137F01"/>
    <w:rPr>
      <w:rFonts w:eastAsia="SimSun" w:cs="F"/>
      <w:b/>
      <w:bCs/>
      <w:kern w:val="3"/>
      <w:sz w:val="20"/>
      <w:szCs w:val="20"/>
      <w14:ligatures w14:val="none"/>
    </w:rPr>
  </w:style>
  <w:style w:type="paragraph" w:styleId="Balonteksts">
    <w:name w:val="Balloon Text"/>
    <w:basedOn w:val="Parasts"/>
    <w:link w:val="BalontekstsRakstz"/>
    <w:uiPriority w:val="99"/>
    <w:semiHidden/>
    <w:unhideWhenUsed/>
    <w:rsid w:val="00137F0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7F01"/>
    <w:rPr>
      <w:rFonts w:ascii="Segoe UI" w:eastAsia="SimSun" w:hAnsi="Segoe UI" w:cs="Segoe UI"/>
      <w:kern w:val="3"/>
      <w:sz w:val="18"/>
      <w:szCs w:val="18"/>
      <w14:ligatures w14:val="none"/>
    </w:rPr>
  </w:style>
  <w:style w:type="character" w:styleId="Hipersaite">
    <w:name w:val="Hyperlink"/>
    <w:basedOn w:val="Noklusjumarindkopasfonts"/>
    <w:uiPriority w:val="99"/>
    <w:unhideWhenUsed/>
    <w:rsid w:val="00137F01"/>
    <w:rPr>
      <w:color w:val="0563C1"/>
      <w:u w:val="single"/>
    </w:rPr>
  </w:style>
  <w:style w:type="character" w:customStyle="1" w:styleId="NoteikumutekstamRakstz">
    <w:name w:val="Noteikumu tekstam Rakstz."/>
    <w:basedOn w:val="Noklusjumarindkopasfonts"/>
    <w:link w:val="Noteikumutekstam"/>
    <w:locked/>
    <w:rsid w:val="00137F01"/>
  </w:style>
  <w:style w:type="paragraph" w:customStyle="1" w:styleId="Noteikumutekstam">
    <w:name w:val="Noteikumu tekstam"/>
    <w:basedOn w:val="Parasts"/>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Bezatstarpm">
    <w:name w:val="No Spacing"/>
    <w:basedOn w:val="Parasts"/>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Reatabula">
    <w:name w:val="Table Grid"/>
    <w:basedOn w:val="Parastatabula"/>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Saraksta rindkopa1 Rakstz.,Normal bullet 2 Rakstz.,Bullet list Rakstz.,List Paragraph1 Rakstz."/>
    <w:basedOn w:val="Noklusjumarindkopasfonts"/>
    <w:link w:val="Sarakstarindkopa"/>
    <w:uiPriority w:val="34"/>
    <w:locked/>
    <w:rsid w:val="00137F01"/>
    <w:rPr>
      <w:rFonts w:eastAsia="Calibri"/>
      <w:kern w:val="3"/>
      <w:szCs w:val="22"/>
      <w14:ligatures w14:val="none"/>
    </w:rPr>
  </w:style>
  <w:style w:type="paragraph" w:customStyle="1" w:styleId="Default">
    <w:name w:val="Default"/>
    <w:basedOn w:val="Parasts"/>
    <w:rsid w:val="00137F01"/>
    <w:pPr>
      <w:widowControl/>
      <w:suppressAutoHyphens w:val="0"/>
      <w:autoSpaceDE w:val="0"/>
      <w:textAlignment w:val="auto"/>
    </w:pPr>
    <w:rPr>
      <w:rFonts w:eastAsiaTheme="minorHAnsi" w:cs="Times New Roman"/>
      <w:color w:val="000000"/>
      <w:kern w:val="0"/>
      <w:szCs w:val="24"/>
      <w:lang w:eastAsia="lv-LV"/>
    </w:rPr>
  </w:style>
  <w:style w:type="character" w:styleId="Vietturateksts">
    <w:name w:val="Placeholder Text"/>
    <w:basedOn w:val="Noklusjumarindkopasfonts"/>
    <w:uiPriority w:val="99"/>
    <w:semiHidden/>
    <w:rsid w:val="00137F01"/>
    <w:rPr>
      <w:color w:val="808080"/>
    </w:rPr>
  </w:style>
  <w:style w:type="character" w:styleId="Neatrisintapieminana">
    <w:name w:val="Unresolved Mention"/>
    <w:basedOn w:val="Noklusjumarindkopasfonts"/>
    <w:uiPriority w:val="99"/>
    <w:semiHidden/>
    <w:unhideWhenUsed/>
    <w:rsid w:val="00967E90"/>
    <w:rPr>
      <w:color w:val="605E5C"/>
      <w:shd w:val="clear" w:color="auto" w:fill="E1DFDD"/>
    </w:rPr>
  </w:style>
  <w:style w:type="paragraph" w:styleId="Prskatjums">
    <w:name w:val="Revision"/>
    <w:hidden/>
    <w:uiPriority w:val="99"/>
    <w:semiHidden/>
    <w:rsid w:val="00663B65"/>
    <w:pPr>
      <w:spacing w:after="0" w:line="240" w:lineRule="auto"/>
    </w:pPr>
    <w:rPr>
      <w:rFonts w:eastAsia="SimSun" w:cs="F"/>
      <w:kern w:val="3"/>
      <w:szCs w:val="22"/>
      <w14:ligatures w14:val="none"/>
    </w:rPr>
  </w:style>
  <w:style w:type="character" w:customStyle="1" w:styleId="cf01">
    <w:name w:val="cf01"/>
    <w:basedOn w:val="Noklusjumarindkopasfonts"/>
    <w:rsid w:val="00663B65"/>
    <w:rPr>
      <w:rFonts w:ascii="Segoe UI" w:hAnsi="Segoe UI" w:cs="Segoe UI" w:hint="default"/>
      <w:sz w:val="18"/>
      <w:szCs w:val="18"/>
    </w:rPr>
  </w:style>
  <w:style w:type="character" w:customStyle="1" w:styleId="cf11">
    <w:name w:val="cf11"/>
    <w:basedOn w:val="Noklusjumarindkopasfonts"/>
    <w:rsid w:val="00663B65"/>
    <w:rPr>
      <w:rFonts w:ascii="Segoe UI" w:hAnsi="Segoe UI" w:cs="Segoe UI" w:hint="default"/>
      <w:sz w:val="18"/>
      <w:szCs w:val="18"/>
    </w:rPr>
  </w:style>
  <w:style w:type="character" w:styleId="Izmantotahipersaite">
    <w:name w:val="FollowedHyperlink"/>
    <w:basedOn w:val="Noklusjumarindkopasfonts"/>
    <w:uiPriority w:val="99"/>
    <w:semiHidden/>
    <w:unhideWhenUsed/>
    <w:rsid w:val="0051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fondi.lv/pieejamais-atbalsts/5-1-1-3-publiskas-artelpas-attistib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Vietturatekst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994E0D"/>
    <w:rsid w:val="00F1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E914-7B00-467B-8703-6CAC884231CA}">
  <ds:schemaRefs>
    <ds:schemaRef ds:uri="http://schemas.microsoft.com/sharepoint/v3/contenttype/forms"/>
  </ds:schemaRefs>
</ds:datastoreItem>
</file>

<file path=customXml/itemProps2.xml><?xml version="1.0" encoding="utf-8"?>
<ds:datastoreItem xmlns:ds="http://schemas.openxmlformats.org/officeDocument/2006/customXml" ds:itemID="{4C449A4D-E727-473A-BC80-F98C3EB1F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49333-5740-44D1-9952-891EB8AF6B48}">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4.xml><?xml version="1.0" encoding="utf-8"?>
<ds:datastoreItem xmlns:ds="http://schemas.openxmlformats.org/officeDocument/2006/customXml" ds:itemID="{F1C3974B-7562-4CB3-A168-8C60040FD04B}">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21</TotalTime>
  <Pages>13</Pages>
  <Words>13321</Words>
  <Characters>7593</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Andrelita Blusanoviča</cp:lastModifiedBy>
  <cp:revision>8</cp:revision>
  <dcterms:created xsi:type="dcterms:W3CDTF">2024-05-15T07:18:00Z</dcterms:created>
  <dcterms:modified xsi:type="dcterms:W3CDTF">2024-05-16T05:18:00Z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