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3B64" w14:textId="1CA4C8A6" w:rsidR="00137F01" w:rsidRPr="00A57181" w:rsidRDefault="00137F01" w:rsidP="00137F01">
      <w:pPr>
        <w:pStyle w:val="Standard"/>
        <w:jc w:val="center"/>
        <w:rPr>
          <w:b/>
          <w:szCs w:val="24"/>
        </w:rPr>
      </w:pPr>
      <w:r w:rsidRPr="00A57181">
        <w:rPr>
          <w:b/>
          <w:szCs w:val="24"/>
        </w:rPr>
        <w:t>Izziņa ar saņemtajiem komentāriem par Eiropas Savienības fondu 2021.–</w:t>
      </w:r>
      <w:proofErr w:type="gramStart"/>
      <w:r w:rsidRPr="00A57181">
        <w:rPr>
          <w:b/>
          <w:szCs w:val="24"/>
        </w:rPr>
        <w:t>2027.gada</w:t>
      </w:r>
      <w:proofErr w:type="gramEnd"/>
      <w:r w:rsidRPr="00A57181">
        <w:rPr>
          <w:b/>
          <w:szCs w:val="24"/>
        </w:rPr>
        <w:t xml:space="preserve"> plānošanas perioda </w:t>
      </w:r>
    </w:p>
    <w:p w14:paraId="73B12ACC" w14:textId="6CBB455A" w:rsidR="00137F01" w:rsidRPr="00A57181" w:rsidRDefault="009956D7" w:rsidP="00A57181">
      <w:pPr>
        <w:pStyle w:val="Standard"/>
        <w:jc w:val="center"/>
        <w:rPr>
          <w:b/>
          <w:szCs w:val="24"/>
        </w:rPr>
      </w:pPr>
      <w:sdt>
        <w:sdtPr>
          <w:rPr>
            <w:b/>
            <w:szCs w:val="24"/>
          </w:rPr>
          <w:id w:val="-1016078257"/>
          <w:placeholder>
            <w:docPart w:val="DefaultPlaceholder_-1854013437"/>
          </w:placeholder>
          <w:date w:fullDate="2024-06-20T00:00:00Z">
            <w:dateFormat w:val="dd.MM.yyyy"/>
            <w:lid w:val="lv-LV"/>
            <w:storeMappedDataAs w:val="dateTime"/>
            <w:calendar w:val="gregorian"/>
          </w:date>
        </w:sdtPr>
        <w:sdtEndPr/>
        <w:sdtContent>
          <w:r w:rsidR="00941BB3">
            <w:rPr>
              <w:b/>
              <w:szCs w:val="24"/>
            </w:rPr>
            <w:t>20.06.2024</w:t>
          </w:r>
        </w:sdtContent>
      </w:sdt>
      <w:r w:rsidR="008B4943">
        <w:rPr>
          <w:b/>
          <w:szCs w:val="24"/>
        </w:rPr>
        <w:t xml:space="preserve">. </w:t>
      </w:r>
      <w:r w:rsidR="00137F01" w:rsidRPr="00A57181">
        <w:rPr>
          <w:b/>
          <w:szCs w:val="24"/>
        </w:rPr>
        <w:t xml:space="preserve">apakškomitejas sēdē izskatāmajiem </w:t>
      </w:r>
      <w:r w:rsidR="00F77A0B">
        <w:rPr>
          <w:b/>
          <w:szCs w:val="24"/>
        </w:rPr>
        <w:t>Kultūras</w:t>
      </w:r>
      <w:r w:rsidR="00A57181" w:rsidRPr="00A57181">
        <w:rPr>
          <w:b/>
          <w:szCs w:val="24"/>
        </w:rPr>
        <w:t xml:space="preserve"> ministrijas </w:t>
      </w:r>
      <w:r w:rsidR="00F77A0B" w:rsidRPr="00F77A0B">
        <w:rPr>
          <w:b/>
          <w:szCs w:val="24"/>
        </w:rPr>
        <w:t xml:space="preserve">4.3.2.specifiskā atbalsta mērķa “Kultūras un tūrisma lomas palielināšana ekonomiskajā attīstībā, sociālajā iekļaušanā un sociālajās inovācijās”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Reatabula"/>
        <w:tblW w:w="0" w:type="auto"/>
        <w:tblLook w:val="04A0" w:firstRow="1" w:lastRow="0" w:firstColumn="1" w:lastColumn="0" w:noHBand="0" w:noVBand="1"/>
      </w:tblPr>
      <w:tblGrid>
        <w:gridCol w:w="1211"/>
        <w:gridCol w:w="2498"/>
        <w:gridCol w:w="4831"/>
        <w:gridCol w:w="2704"/>
        <w:gridCol w:w="2704"/>
      </w:tblGrid>
      <w:tr w:rsidR="00A57181" w:rsidRPr="000054D9" w14:paraId="1DC85C06" w14:textId="77777777" w:rsidTr="61EC34E6">
        <w:tc>
          <w:tcPr>
            <w:tcW w:w="562"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2694" w:type="dxa"/>
          </w:tcPr>
          <w:p w14:paraId="6A3984BE" w14:textId="1C6C92FE" w:rsidR="00A57181" w:rsidRPr="000054D9" w:rsidRDefault="00A57181" w:rsidP="00137F01">
            <w:pPr>
              <w:pStyle w:val="Standard"/>
              <w:jc w:val="center"/>
              <w:rPr>
                <w:rFonts w:cs="Times New Roman"/>
                <w:b/>
                <w:bCs/>
                <w:sz w:val="22"/>
              </w:rPr>
            </w:pPr>
            <w:r w:rsidRPr="000054D9">
              <w:rPr>
                <w:rFonts w:cs="Times New Roman"/>
                <w:b/>
                <w:bCs/>
                <w:sz w:val="22"/>
              </w:rPr>
              <w:t>Materiālu esošā redakcija</w:t>
            </w:r>
          </w:p>
        </w:tc>
        <w:tc>
          <w:tcPr>
            <w:tcW w:w="5112"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790"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2790"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61EC34E6">
        <w:tc>
          <w:tcPr>
            <w:tcW w:w="562" w:type="dxa"/>
          </w:tcPr>
          <w:p w14:paraId="2A7F122C" w14:textId="77777777" w:rsidR="00A57181" w:rsidRPr="000054D9" w:rsidRDefault="00A57181" w:rsidP="00137F01">
            <w:pPr>
              <w:pStyle w:val="Standard"/>
              <w:jc w:val="center"/>
              <w:rPr>
                <w:rFonts w:cs="Times New Roman"/>
                <w:b/>
                <w:bCs/>
                <w:sz w:val="22"/>
              </w:rPr>
            </w:pPr>
          </w:p>
        </w:tc>
        <w:tc>
          <w:tcPr>
            <w:tcW w:w="2694" w:type="dxa"/>
          </w:tcPr>
          <w:p w14:paraId="67E8DA1B" w14:textId="393A3207" w:rsidR="00A57181" w:rsidRPr="000054D9" w:rsidRDefault="00A57181" w:rsidP="00137F01">
            <w:pPr>
              <w:pStyle w:val="Standard"/>
              <w:jc w:val="center"/>
              <w:rPr>
                <w:rFonts w:cs="Times New Roman"/>
                <w:b/>
                <w:bCs/>
                <w:sz w:val="22"/>
              </w:rPr>
            </w:pPr>
            <w:r w:rsidRPr="000054D9">
              <w:rPr>
                <w:rFonts w:cs="Times New Roman"/>
                <w:b/>
                <w:bCs/>
                <w:sz w:val="22"/>
              </w:rPr>
              <w:t>1</w:t>
            </w:r>
          </w:p>
        </w:tc>
        <w:tc>
          <w:tcPr>
            <w:tcW w:w="5112"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790"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2790"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61EC34E6">
        <w:tc>
          <w:tcPr>
            <w:tcW w:w="13948" w:type="dxa"/>
            <w:gridSpan w:val="5"/>
            <w:shd w:val="clear" w:color="auto" w:fill="C5E0B3" w:themeFill="accent6" w:themeFillTint="66"/>
          </w:tcPr>
          <w:p w14:paraId="5E6EE4EC" w14:textId="30665F84" w:rsidR="00A57181" w:rsidRPr="000054D9" w:rsidRDefault="00A57181" w:rsidP="00A57181">
            <w:pPr>
              <w:pStyle w:val="Standard"/>
              <w:jc w:val="both"/>
              <w:rPr>
                <w:rFonts w:cs="Times New Roman"/>
                <w:b/>
                <w:bCs/>
                <w:sz w:val="22"/>
              </w:rPr>
            </w:pPr>
            <w:r w:rsidRPr="000054D9">
              <w:rPr>
                <w:rFonts w:cs="Times New Roman"/>
                <w:b/>
                <w:bCs/>
                <w:sz w:val="22"/>
              </w:rPr>
              <w:t>Par projektu iesniegumu vērtēšanas kritērijiem</w:t>
            </w:r>
          </w:p>
        </w:tc>
      </w:tr>
      <w:tr w:rsidR="00A57181" w:rsidRPr="000054D9" w14:paraId="6D4B6E25" w14:textId="77777777" w:rsidTr="61EC34E6">
        <w:tc>
          <w:tcPr>
            <w:tcW w:w="562" w:type="dxa"/>
          </w:tcPr>
          <w:p w14:paraId="44B426E0" w14:textId="77777777" w:rsidR="00A57181" w:rsidRPr="000054D9" w:rsidRDefault="00A57181" w:rsidP="00A57181">
            <w:pPr>
              <w:pStyle w:val="Standard"/>
              <w:numPr>
                <w:ilvl w:val="0"/>
                <w:numId w:val="16"/>
              </w:numPr>
              <w:ind w:hanging="1049"/>
              <w:jc w:val="center"/>
              <w:rPr>
                <w:rFonts w:cs="Times New Roman"/>
                <w:b/>
                <w:bCs/>
                <w:sz w:val="22"/>
              </w:rPr>
            </w:pPr>
          </w:p>
        </w:tc>
        <w:tc>
          <w:tcPr>
            <w:tcW w:w="2694" w:type="dxa"/>
          </w:tcPr>
          <w:p w14:paraId="4E442DC0" w14:textId="0D305C53" w:rsidR="00A57181" w:rsidRPr="000054D9" w:rsidRDefault="00F5137A" w:rsidP="00340749">
            <w:pPr>
              <w:pStyle w:val="Standard"/>
              <w:jc w:val="both"/>
              <w:rPr>
                <w:rFonts w:cs="Times New Roman"/>
                <w:b/>
                <w:bCs/>
                <w:sz w:val="22"/>
              </w:rPr>
            </w:pPr>
            <w:r>
              <w:rPr>
                <w:rFonts w:cs="Times New Roman"/>
                <w:b/>
                <w:bCs/>
                <w:sz w:val="22"/>
              </w:rPr>
              <w:t>Vispārīgi</w:t>
            </w:r>
          </w:p>
        </w:tc>
        <w:tc>
          <w:tcPr>
            <w:tcW w:w="5112" w:type="dxa"/>
          </w:tcPr>
          <w:p w14:paraId="0291DBBB" w14:textId="77777777" w:rsidR="00A57181" w:rsidRPr="00F5137A" w:rsidRDefault="00F5137A" w:rsidP="00340749">
            <w:pPr>
              <w:pStyle w:val="Standard"/>
              <w:jc w:val="both"/>
              <w:rPr>
                <w:rFonts w:cs="Times New Roman"/>
                <w:b/>
                <w:bCs/>
                <w:sz w:val="22"/>
              </w:rPr>
            </w:pPr>
            <w:r w:rsidRPr="00F5137A">
              <w:rPr>
                <w:rFonts w:cs="Times New Roman"/>
                <w:b/>
                <w:bCs/>
                <w:sz w:val="22"/>
              </w:rPr>
              <w:t>Latgales plānošanas reģions</w:t>
            </w:r>
          </w:p>
          <w:p w14:paraId="19CBB5C4" w14:textId="77777777" w:rsidR="00F5137A" w:rsidRDefault="00F5137A" w:rsidP="00340749">
            <w:pPr>
              <w:pStyle w:val="Standard"/>
              <w:jc w:val="both"/>
              <w:rPr>
                <w:rFonts w:cs="Times New Roman"/>
                <w:sz w:val="22"/>
              </w:rPr>
            </w:pPr>
          </w:p>
          <w:p w14:paraId="289BF871" w14:textId="271C4C7E" w:rsidR="00F5137A" w:rsidRPr="000054D9" w:rsidRDefault="00F5137A" w:rsidP="61EC34E6">
            <w:pPr>
              <w:pStyle w:val="Standard"/>
              <w:jc w:val="both"/>
              <w:rPr>
                <w:rFonts w:cs="Times New Roman"/>
                <w:sz w:val="22"/>
              </w:rPr>
            </w:pPr>
            <w:r w:rsidRPr="61EC34E6">
              <w:rPr>
                <w:rFonts w:cs="Times New Roman"/>
                <w:sz w:val="22"/>
              </w:rPr>
              <w:t xml:space="preserve">Paredzēt kvalitātes kritērijus, kur tiek vērtēta projektu gatavības pakāpe, piešķirot </w:t>
            </w:r>
            <w:proofErr w:type="gramStart"/>
            <w:r w:rsidRPr="61EC34E6">
              <w:rPr>
                <w:rFonts w:cs="Times New Roman"/>
                <w:sz w:val="22"/>
              </w:rPr>
              <w:t>papildus punktus</w:t>
            </w:r>
            <w:proofErr w:type="gramEnd"/>
            <w:r w:rsidRPr="61EC34E6">
              <w:rPr>
                <w:rFonts w:cs="Times New Roman"/>
                <w:sz w:val="22"/>
              </w:rPr>
              <w:t xml:space="preserve"> projektiem, </w:t>
            </w:r>
            <w:r w:rsidRPr="61EC34E6">
              <w:rPr>
                <w:rFonts w:cs="Times New Roman"/>
                <w:b/>
                <w:bCs/>
                <w:sz w:val="22"/>
              </w:rPr>
              <w:t xml:space="preserve">ja visām projekta ietvaros plānotajām būvniecības darbībām </w:t>
            </w:r>
            <w:r w:rsidRPr="61EC34E6">
              <w:rPr>
                <w:rFonts w:cs="Times New Roman"/>
                <w:sz w:val="22"/>
              </w:rPr>
              <w:t>būvatļaujā, apliecinājuma kartē vai paskaidrojuma rakstā ir veikta būvvaldes atzīme par projektēšanas nosacījumu izpildi vai ir paziņojums par būvniecību, vai iesniegta būvvaldes izziņa, kas apliecina, ka būvdarbiem būvatļauja, paskaidrojuma raksts, apliecinājuma karte vai paziņojums par būvniecību nav nepieciešami, un par visām būvniecības darbībām ir publicēts paziņojums par līguma slēgšanas tiesību piešķiršanu.</w:t>
            </w:r>
          </w:p>
        </w:tc>
        <w:tc>
          <w:tcPr>
            <w:tcW w:w="2790" w:type="dxa"/>
          </w:tcPr>
          <w:p w14:paraId="0E604620" w14:textId="57642D81" w:rsidR="00A57181" w:rsidRPr="000054D9" w:rsidRDefault="03672F98" w:rsidP="2F7B211B">
            <w:pPr>
              <w:pStyle w:val="Standard"/>
              <w:jc w:val="both"/>
            </w:pPr>
            <w:r w:rsidRPr="2F7B211B">
              <w:rPr>
                <w:rFonts w:cs="Times New Roman"/>
                <w:b/>
                <w:bCs/>
                <w:sz w:val="22"/>
              </w:rPr>
              <w:t>Nav ņemts vērā</w:t>
            </w:r>
          </w:p>
          <w:p w14:paraId="510E05F4" w14:textId="70327AF4" w:rsidR="00A57181" w:rsidRPr="000054D9" w:rsidRDefault="342995AD" w:rsidP="61EC34E6">
            <w:pPr>
              <w:pStyle w:val="Standard"/>
              <w:jc w:val="both"/>
            </w:pPr>
            <w:r w:rsidRPr="61EC34E6">
              <w:rPr>
                <w:rFonts w:cs="Times New Roman"/>
                <w:sz w:val="22"/>
              </w:rPr>
              <w:t>Skaidrojam, ka ieguldījumi infrastruktūrā 4.3.2.SAM ietvaros nav prioritāri, attiecīgi atbilstoši kva</w:t>
            </w:r>
            <w:r w:rsidR="1C1BD283" w:rsidRPr="61EC34E6">
              <w:rPr>
                <w:rFonts w:cs="Times New Roman"/>
                <w:sz w:val="22"/>
              </w:rPr>
              <w:t>l</w:t>
            </w:r>
            <w:r w:rsidRPr="61EC34E6">
              <w:rPr>
                <w:rFonts w:cs="Times New Roman"/>
                <w:sz w:val="22"/>
              </w:rPr>
              <w:t xml:space="preserve">itātes vērtēšanas kritērijiem prioritāri tiek </w:t>
            </w:r>
            <w:r w:rsidR="696197DD" w:rsidRPr="61EC34E6">
              <w:rPr>
                <w:rFonts w:eastAsiaTheme="minorEastAsia" w:cs="Times New Roman"/>
                <w:sz w:val="22"/>
              </w:rPr>
              <w:t xml:space="preserve">vērtēts </w:t>
            </w:r>
            <w:r w:rsidR="7D009933" w:rsidRPr="61EC34E6">
              <w:rPr>
                <w:rFonts w:eastAsiaTheme="minorEastAsia" w:cs="Times New Roman"/>
                <w:sz w:val="22"/>
              </w:rPr>
              <w:t>darbs ar sociāli mazaizsargātām grupām</w:t>
            </w:r>
            <w:r w:rsidR="5E969777" w:rsidRPr="61EC34E6">
              <w:rPr>
                <w:rFonts w:eastAsiaTheme="minorEastAsia" w:cs="Times New Roman"/>
                <w:sz w:val="22"/>
              </w:rPr>
              <w:t>.</w:t>
            </w:r>
          </w:p>
          <w:p w14:paraId="0296CACA" w14:textId="5424A4FD" w:rsidR="00A57181" w:rsidRPr="000054D9" w:rsidRDefault="352C2BC3" w:rsidP="00303A9D">
            <w:pPr>
              <w:pStyle w:val="Standard"/>
              <w:jc w:val="both"/>
            </w:pPr>
            <w:r w:rsidRPr="61EC34E6">
              <w:rPr>
                <w:rFonts w:eastAsiaTheme="minorEastAsia" w:cs="Times New Roman"/>
                <w:sz w:val="22"/>
              </w:rPr>
              <w:t xml:space="preserve">Vienlaikus skaidrojam, ka, lai izpildītu Jaunā </w:t>
            </w:r>
            <w:proofErr w:type="spellStart"/>
            <w:r w:rsidRPr="61EC34E6">
              <w:rPr>
                <w:rFonts w:eastAsiaTheme="minorEastAsia" w:cs="Times New Roman"/>
                <w:sz w:val="22"/>
              </w:rPr>
              <w:t>Bauhaus</w:t>
            </w:r>
            <w:proofErr w:type="spellEnd"/>
            <w:r w:rsidRPr="61EC34E6">
              <w:rPr>
                <w:rFonts w:eastAsiaTheme="minorEastAsia" w:cs="Times New Roman"/>
                <w:sz w:val="22"/>
              </w:rPr>
              <w:t xml:space="preserve"> principa kritērijus un nodrošinātu </w:t>
            </w:r>
            <w:r w:rsidR="555CAAEC" w:rsidRPr="61EC34E6">
              <w:rPr>
                <w:rFonts w:eastAsiaTheme="minorEastAsia" w:cs="Times New Roman"/>
                <w:sz w:val="22"/>
              </w:rPr>
              <w:t xml:space="preserve">tādu </w:t>
            </w:r>
            <w:r w:rsidRPr="61EC34E6">
              <w:rPr>
                <w:rFonts w:eastAsiaTheme="minorEastAsia" w:cs="Times New Roman"/>
                <w:sz w:val="22"/>
              </w:rPr>
              <w:t xml:space="preserve">kopienas iesaisti, </w:t>
            </w:r>
            <w:r w:rsidR="426C4CC7" w:rsidRPr="61EC34E6">
              <w:rPr>
                <w:rFonts w:eastAsiaTheme="minorEastAsia" w:cs="Times New Roman"/>
                <w:sz w:val="22"/>
              </w:rPr>
              <w:t>kā to paredz vērtēšanas kritēriji, ir atbalstāmi tieši projekti ar zemu gatavības pakāpi</w:t>
            </w:r>
            <w:r w:rsidR="00303A9D">
              <w:rPr>
                <w:rFonts w:eastAsiaTheme="minorEastAsia" w:cs="Times New Roman"/>
                <w:sz w:val="22"/>
              </w:rPr>
              <w:t>.</w:t>
            </w:r>
            <w:r w:rsidRPr="61EC34E6">
              <w:rPr>
                <w:rFonts w:ascii="Aptos" w:eastAsia="Aptos" w:hAnsi="Aptos" w:cs="Aptos"/>
                <w:sz w:val="22"/>
              </w:rPr>
              <w:t xml:space="preserve"> </w:t>
            </w:r>
          </w:p>
        </w:tc>
        <w:tc>
          <w:tcPr>
            <w:tcW w:w="2790" w:type="dxa"/>
          </w:tcPr>
          <w:p w14:paraId="6DEE62A6" w14:textId="77777777" w:rsidR="00A57181" w:rsidRPr="000054D9" w:rsidRDefault="00A57181" w:rsidP="00340749">
            <w:pPr>
              <w:pStyle w:val="Standard"/>
              <w:jc w:val="both"/>
              <w:rPr>
                <w:rFonts w:cs="Times New Roman"/>
                <w:sz w:val="22"/>
              </w:rPr>
            </w:pPr>
          </w:p>
        </w:tc>
      </w:tr>
      <w:tr w:rsidR="00A57181" w:rsidRPr="000054D9" w14:paraId="75001870" w14:textId="77777777" w:rsidTr="61EC34E6">
        <w:tc>
          <w:tcPr>
            <w:tcW w:w="562" w:type="dxa"/>
          </w:tcPr>
          <w:p w14:paraId="01CD6B52" w14:textId="77777777" w:rsidR="00A57181" w:rsidRPr="000054D9" w:rsidRDefault="00A57181" w:rsidP="00A57181">
            <w:pPr>
              <w:pStyle w:val="Standard"/>
              <w:numPr>
                <w:ilvl w:val="0"/>
                <w:numId w:val="16"/>
              </w:numPr>
              <w:ind w:hanging="1049"/>
              <w:jc w:val="center"/>
              <w:rPr>
                <w:rFonts w:cs="Times New Roman"/>
                <w:b/>
                <w:bCs/>
                <w:sz w:val="22"/>
              </w:rPr>
            </w:pPr>
          </w:p>
        </w:tc>
        <w:tc>
          <w:tcPr>
            <w:tcW w:w="2694" w:type="dxa"/>
          </w:tcPr>
          <w:p w14:paraId="409ACF3A" w14:textId="36D48120" w:rsidR="00A57181" w:rsidRPr="000054D9" w:rsidRDefault="00840E7D" w:rsidP="00340749">
            <w:pPr>
              <w:pStyle w:val="Standard"/>
              <w:jc w:val="both"/>
              <w:rPr>
                <w:rFonts w:cs="Times New Roman"/>
                <w:b/>
                <w:bCs/>
                <w:sz w:val="22"/>
              </w:rPr>
            </w:pPr>
            <w:r>
              <w:rPr>
                <w:rFonts w:cs="Times New Roman"/>
                <w:b/>
                <w:bCs/>
                <w:sz w:val="22"/>
              </w:rPr>
              <w:t>Vispārīgi</w:t>
            </w:r>
          </w:p>
        </w:tc>
        <w:tc>
          <w:tcPr>
            <w:tcW w:w="5112" w:type="dxa"/>
          </w:tcPr>
          <w:p w14:paraId="041C36E4" w14:textId="77777777" w:rsidR="00F5137A" w:rsidRPr="00F5137A" w:rsidRDefault="00F5137A" w:rsidP="00F5137A">
            <w:pPr>
              <w:pStyle w:val="Standard"/>
              <w:jc w:val="both"/>
              <w:rPr>
                <w:rFonts w:cs="Times New Roman"/>
                <w:b/>
                <w:bCs/>
                <w:sz w:val="22"/>
              </w:rPr>
            </w:pPr>
            <w:r w:rsidRPr="00F5137A">
              <w:rPr>
                <w:rFonts w:cs="Times New Roman"/>
                <w:b/>
                <w:bCs/>
                <w:sz w:val="22"/>
              </w:rPr>
              <w:t>Latgales plānošanas reģions</w:t>
            </w:r>
          </w:p>
          <w:p w14:paraId="0FED6AB5" w14:textId="77777777" w:rsidR="00A57181" w:rsidRDefault="00A57181" w:rsidP="00340749">
            <w:pPr>
              <w:pStyle w:val="Standard"/>
              <w:jc w:val="both"/>
              <w:rPr>
                <w:rFonts w:cs="Times New Roman"/>
                <w:sz w:val="22"/>
              </w:rPr>
            </w:pPr>
          </w:p>
          <w:p w14:paraId="031D7E04" w14:textId="77777777" w:rsidR="00F5137A" w:rsidRDefault="00F5137A" w:rsidP="61EC34E6">
            <w:pPr>
              <w:pStyle w:val="Standard"/>
              <w:jc w:val="both"/>
              <w:rPr>
                <w:rFonts w:cs="Times New Roman"/>
                <w:sz w:val="22"/>
                <w:highlight w:val="yellow"/>
                <w:u w:val="single"/>
              </w:rPr>
            </w:pPr>
            <w:r w:rsidRPr="61EC34E6">
              <w:rPr>
                <w:rFonts w:cs="Times New Roman"/>
                <w:sz w:val="22"/>
              </w:rPr>
              <w:t xml:space="preserve">Paredzēt kvalitātes kritērijus, </w:t>
            </w:r>
            <w:r w:rsidRPr="61EC34E6">
              <w:rPr>
                <w:rFonts w:cs="Times New Roman"/>
                <w:sz w:val="22"/>
                <w:u w:val="single"/>
              </w:rPr>
              <w:t xml:space="preserve">kur tiek vērtēti projektā plānotie ieguldījumi, piešķirot </w:t>
            </w:r>
            <w:proofErr w:type="gramStart"/>
            <w:r w:rsidRPr="61EC34E6">
              <w:rPr>
                <w:rFonts w:cs="Times New Roman"/>
                <w:sz w:val="22"/>
                <w:u w:val="single"/>
              </w:rPr>
              <w:t>papildus punktus</w:t>
            </w:r>
            <w:proofErr w:type="gramEnd"/>
            <w:r w:rsidRPr="61EC34E6">
              <w:rPr>
                <w:rFonts w:cs="Times New Roman"/>
                <w:sz w:val="22"/>
                <w:u w:val="single"/>
              </w:rPr>
              <w:t xml:space="preserve"> projektiem, kur investīcijas tiek veiktas Valsts nozīmes kultūras pieminekļa objektā.</w:t>
            </w:r>
          </w:p>
          <w:p w14:paraId="0E0CC4E2" w14:textId="1F53180B" w:rsidR="002C5DC5" w:rsidRPr="000054D9" w:rsidRDefault="002C5DC5" w:rsidP="00340749">
            <w:pPr>
              <w:pStyle w:val="Standard"/>
              <w:jc w:val="both"/>
              <w:rPr>
                <w:rFonts w:cs="Times New Roman"/>
                <w:sz w:val="22"/>
              </w:rPr>
            </w:pPr>
          </w:p>
        </w:tc>
        <w:tc>
          <w:tcPr>
            <w:tcW w:w="2790" w:type="dxa"/>
          </w:tcPr>
          <w:p w14:paraId="2F033996" w14:textId="21563331" w:rsidR="00A57181" w:rsidRPr="000054D9" w:rsidRDefault="5F359E18" w:rsidP="2F7B211B">
            <w:pPr>
              <w:pStyle w:val="Standard"/>
              <w:jc w:val="both"/>
            </w:pPr>
            <w:r w:rsidRPr="2F7B211B">
              <w:rPr>
                <w:rFonts w:cs="Times New Roman"/>
                <w:b/>
                <w:bCs/>
                <w:sz w:val="22"/>
              </w:rPr>
              <w:t>Nav ņemts vērā</w:t>
            </w:r>
          </w:p>
          <w:p w14:paraId="267E94A8" w14:textId="6BFDAD2E" w:rsidR="00A57181" w:rsidRPr="000054D9" w:rsidRDefault="00A57181" w:rsidP="2F7B211B">
            <w:pPr>
              <w:pStyle w:val="Standard"/>
              <w:jc w:val="both"/>
              <w:rPr>
                <w:rFonts w:cs="Times New Roman"/>
                <w:sz w:val="22"/>
              </w:rPr>
            </w:pPr>
          </w:p>
          <w:p w14:paraId="6B256B02" w14:textId="4243B817" w:rsidR="00A57181" w:rsidRPr="000054D9" w:rsidRDefault="3439C11C" w:rsidP="2F7B211B">
            <w:pPr>
              <w:pStyle w:val="Standard"/>
              <w:jc w:val="both"/>
            </w:pPr>
            <w:r w:rsidRPr="2F7B211B">
              <w:rPr>
                <w:rFonts w:cs="Times New Roman"/>
                <w:sz w:val="22"/>
              </w:rPr>
              <w:t>Skaidrojam, ka ieguldījumi infrastruktūrā 4.3.2.SAM ietvaros nav prioritāri, attiecīgi atbilstoši kvalitātes vērtēšanas kritērijiem prioritāri tiek vērtēts darbs ar sociāli mazaizsargātām grupām</w:t>
            </w:r>
            <w:r w:rsidR="59EB7AB4" w:rsidRPr="2F7B211B">
              <w:rPr>
                <w:rFonts w:cs="Times New Roman"/>
                <w:sz w:val="22"/>
              </w:rPr>
              <w:t>.</w:t>
            </w:r>
          </w:p>
          <w:p w14:paraId="1AE9D04B" w14:textId="2B9C7F4F" w:rsidR="00A57181" w:rsidRPr="000054D9" w:rsidRDefault="00A57181" w:rsidP="2F7B211B">
            <w:pPr>
              <w:pStyle w:val="Standard"/>
              <w:jc w:val="both"/>
              <w:rPr>
                <w:rFonts w:cs="Times New Roman"/>
                <w:sz w:val="22"/>
              </w:rPr>
            </w:pPr>
          </w:p>
        </w:tc>
        <w:tc>
          <w:tcPr>
            <w:tcW w:w="2790" w:type="dxa"/>
          </w:tcPr>
          <w:p w14:paraId="16E89DF2" w14:textId="77777777" w:rsidR="00A57181" w:rsidRPr="000054D9" w:rsidRDefault="00A57181" w:rsidP="00340749">
            <w:pPr>
              <w:pStyle w:val="Standard"/>
              <w:jc w:val="both"/>
              <w:rPr>
                <w:rFonts w:cs="Times New Roman"/>
                <w:sz w:val="22"/>
              </w:rPr>
            </w:pPr>
          </w:p>
        </w:tc>
      </w:tr>
      <w:tr w:rsidR="00840E7D" w:rsidRPr="000054D9" w14:paraId="393F6188" w14:textId="77777777" w:rsidTr="61EC34E6">
        <w:tc>
          <w:tcPr>
            <w:tcW w:w="562" w:type="dxa"/>
          </w:tcPr>
          <w:p w14:paraId="7CF9720E" w14:textId="77777777" w:rsidR="00840E7D" w:rsidRPr="000054D9" w:rsidRDefault="00840E7D" w:rsidP="00A57181">
            <w:pPr>
              <w:pStyle w:val="Standard"/>
              <w:numPr>
                <w:ilvl w:val="0"/>
                <w:numId w:val="16"/>
              </w:numPr>
              <w:ind w:hanging="1049"/>
              <w:jc w:val="center"/>
              <w:rPr>
                <w:b/>
                <w:bCs/>
                <w:sz w:val="22"/>
              </w:rPr>
            </w:pPr>
          </w:p>
        </w:tc>
        <w:tc>
          <w:tcPr>
            <w:tcW w:w="2694" w:type="dxa"/>
          </w:tcPr>
          <w:p w14:paraId="08997727" w14:textId="116A7E59" w:rsidR="00840E7D" w:rsidRDefault="00840E7D" w:rsidP="00340749">
            <w:pPr>
              <w:pStyle w:val="Standard"/>
              <w:jc w:val="both"/>
              <w:rPr>
                <w:b/>
                <w:bCs/>
                <w:sz w:val="22"/>
              </w:rPr>
            </w:pPr>
            <w:r>
              <w:rPr>
                <w:rFonts w:cs="Times New Roman"/>
                <w:b/>
                <w:bCs/>
                <w:sz w:val="22"/>
              </w:rPr>
              <w:t>Vispārīgi</w:t>
            </w:r>
          </w:p>
        </w:tc>
        <w:tc>
          <w:tcPr>
            <w:tcW w:w="5112" w:type="dxa"/>
          </w:tcPr>
          <w:p w14:paraId="0B19A312" w14:textId="384F833A" w:rsidR="00840E7D" w:rsidRDefault="00840E7D" w:rsidP="00F5137A">
            <w:pPr>
              <w:pStyle w:val="Standard"/>
              <w:jc w:val="both"/>
              <w:rPr>
                <w:b/>
                <w:bCs/>
                <w:sz w:val="22"/>
              </w:rPr>
            </w:pPr>
            <w:r>
              <w:rPr>
                <w:b/>
                <w:bCs/>
                <w:sz w:val="22"/>
              </w:rPr>
              <w:t>Finanšu ministrija</w:t>
            </w:r>
            <w:r w:rsidR="002C5DC5">
              <w:rPr>
                <w:b/>
                <w:bCs/>
                <w:sz w:val="22"/>
              </w:rPr>
              <w:t xml:space="preserve"> (SD)</w:t>
            </w:r>
          </w:p>
          <w:p w14:paraId="160CD758" w14:textId="77777777" w:rsidR="002C5DC5" w:rsidRDefault="002C5DC5" w:rsidP="00F5137A">
            <w:pPr>
              <w:pStyle w:val="Standard"/>
              <w:jc w:val="both"/>
              <w:rPr>
                <w:b/>
                <w:bCs/>
                <w:sz w:val="22"/>
              </w:rPr>
            </w:pPr>
          </w:p>
          <w:p w14:paraId="46DB541C" w14:textId="77777777" w:rsidR="00840E7D" w:rsidRPr="00840E7D" w:rsidRDefault="00840E7D" w:rsidP="00840E7D">
            <w:pPr>
              <w:pStyle w:val="Standard"/>
              <w:jc w:val="both"/>
              <w:rPr>
                <w:sz w:val="22"/>
              </w:rPr>
            </w:pPr>
            <w:r w:rsidRPr="00840E7D">
              <w:rPr>
                <w:sz w:val="22"/>
              </w:rPr>
              <w:lastRenderedPageBreak/>
              <w:t>Lūdzam papildināt kritērijus ar zemsvītras atsauci, kurā atšifrēti saīsinājumi "N; P; N/A", t.i.:</w:t>
            </w:r>
          </w:p>
          <w:p w14:paraId="67368C6A" w14:textId="77777777" w:rsidR="00840E7D" w:rsidRPr="00840E7D" w:rsidRDefault="00840E7D" w:rsidP="00840E7D">
            <w:pPr>
              <w:pStyle w:val="Standard"/>
              <w:jc w:val="both"/>
              <w:rPr>
                <w:sz w:val="22"/>
              </w:rPr>
            </w:pPr>
          </w:p>
          <w:p w14:paraId="32B59AF8" w14:textId="77777777" w:rsidR="00840E7D" w:rsidRPr="00840E7D" w:rsidRDefault="00840E7D" w:rsidP="00840E7D">
            <w:pPr>
              <w:pStyle w:val="Standard"/>
              <w:jc w:val="both"/>
              <w:rPr>
                <w:sz w:val="22"/>
              </w:rPr>
            </w:pPr>
            <w:r w:rsidRPr="00840E7D">
              <w:rPr>
                <w:sz w:val="22"/>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C06FB79" w14:textId="77777777" w:rsidR="00840E7D" w:rsidRPr="00840E7D" w:rsidRDefault="00840E7D" w:rsidP="00840E7D">
            <w:pPr>
              <w:pStyle w:val="Standard"/>
              <w:jc w:val="both"/>
              <w:rPr>
                <w:sz w:val="22"/>
              </w:rPr>
            </w:pPr>
            <w:r w:rsidRPr="00840E7D">
              <w:rPr>
                <w:sz w:val="22"/>
              </w:rPr>
              <w:t>N - Kritērija neatbilstības gadījumā sadarbības iestāde pieņem lēmumu par projekta iesnieguma noraidīšanu.</w:t>
            </w:r>
          </w:p>
          <w:p w14:paraId="49DE84C6" w14:textId="77777777" w:rsidR="00840E7D" w:rsidRDefault="00840E7D" w:rsidP="00840E7D">
            <w:pPr>
              <w:pStyle w:val="Standard"/>
              <w:jc w:val="both"/>
              <w:rPr>
                <w:sz w:val="22"/>
              </w:rPr>
            </w:pPr>
            <w:r w:rsidRPr="00840E7D">
              <w:rPr>
                <w:sz w:val="22"/>
              </w:rPr>
              <w:t>N/A - Kritērijs nav attiecināms uz konkrēto projektu."</w:t>
            </w:r>
            <w:r>
              <w:rPr>
                <w:sz w:val="22"/>
              </w:rPr>
              <w:t>.</w:t>
            </w:r>
          </w:p>
          <w:p w14:paraId="027CD496" w14:textId="3D7DC804" w:rsidR="00840E7D" w:rsidRPr="00840E7D" w:rsidRDefault="00840E7D" w:rsidP="00840E7D">
            <w:pPr>
              <w:pStyle w:val="Standard"/>
              <w:jc w:val="both"/>
              <w:rPr>
                <w:sz w:val="22"/>
              </w:rPr>
            </w:pPr>
          </w:p>
        </w:tc>
        <w:tc>
          <w:tcPr>
            <w:tcW w:w="2790" w:type="dxa"/>
          </w:tcPr>
          <w:p w14:paraId="1C1D8D41" w14:textId="318974F7" w:rsidR="00840E7D" w:rsidRPr="000054D9" w:rsidRDefault="345E0E6A" w:rsidP="44B81434">
            <w:pPr>
              <w:pStyle w:val="Standard"/>
              <w:jc w:val="both"/>
              <w:rPr>
                <w:b/>
                <w:bCs/>
                <w:sz w:val="22"/>
              </w:rPr>
            </w:pPr>
            <w:r w:rsidRPr="44B81434">
              <w:rPr>
                <w:b/>
                <w:bCs/>
                <w:sz w:val="22"/>
              </w:rPr>
              <w:lastRenderedPageBreak/>
              <w:t>Ņemts vērā</w:t>
            </w:r>
          </w:p>
          <w:p w14:paraId="4278E428" w14:textId="481D7C3B" w:rsidR="00840E7D" w:rsidRPr="000054D9" w:rsidRDefault="00840E7D" w:rsidP="44B81434">
            <w:pPr>
              <w:pStyle w:val="Standard"/>
              <w:jc w:val="both"/>
              <w:rPr>
                <w:b/>
                <w:bCs/>
                <w:sz w:val="22"/>
              </w:rPr>
            </w:pPr>
          </w:p>
          <w:p w14:paraId="09F42190" w14:textId="2F5400D8" w:rsidR="00840E7D" w:rsidRPr="000054D9" w:rsidRDefault="345E0E6A" w:rsidP="2F7B211B">
            <w:pPr>
              <w:pStyle w:val="Standard"/>
              <w:jc w:val="both"/>
              <w:rPr>
                <w:sz w:val="22"/>
              </w:rPr>
            </w:pPr>
            <w:r w:rsidRPr="2F7B211B">
              <w:rPr>
                <w:sz w:val="22"/>
              </w:rPr>
              <w:lastRenderedPageBreak/>
              <w:t xml:space="preserve">Kritēriji </w:t>
            </w:r>
            <w:r w:rsidR="2CC04BE3" w:rsidRPr="2F7B211B">
              <w:rPr>
                <w:sz w:val="22"/>
              </w:rPr>
              <w:t xml:space="preserve">atbilstoši </w:t>
            </w:r>
            <w:r w:rsidR="381132BA" w:rsidRPr="2F7B211B">
              <w:rPr>
                <w:sz w:val="22"/>
              </w:rPr>
              <w:t xml:space="preserve">precizēti, to saīsinājumus </w:t>
            </w:r>
            <w:r w:rsidRPr="2F7B211B">
              <w:rPr>
                <w:sz w:val="22"/>
              </w:rPr>
              <w:t>papildin</w:t>
            </w:r>
            <w:r w:rsidR="6580FB9E" w:rsidRPr="2F7B211B">
              <w:rPr>
                <w:sz w:val="22"/>
              </w:rPr>
              <w:t>ot</w:t>
            </w:r>
            <w:r w:rsidRPr="2F7B211B">
              <w:rPr>
                <w:sz w:val="22"/>
              </w:rPr>
              <w:t xml:space="preserve"> ar zemsvītras atsauci.</w:t>
            </w:r>
          </w:p>
        </w:tc>
        <w:tc>
          <w:tcPr>
            <w:tcW w:w="2790" w:type="dxa"/>
          </w:tcPr>
          <w:p w14:paraId="75B84516" w14:textId="77777777" w:rsidR="00840E7D" w:rsidRPr="000054D9" w:rsidRDefault="00840E7D" w:rsidP="00340749">
            <w:pPr>
              <w:pStyle w:val="Standard"/>
              <w:jc w:val="both"/>
              <w:rPr>
                <w:sz w:val="22"/>
              </w:rPr>
            </w:pPr>
          </w:p>
        </w:tc>
      </w:tr>
      <w:tr w:rsidR="00840E7D" w:rsidRPr="000054D9" w14:paraId="62B401A8" w14:textId="77777777" w:rsidTr="61EC34E6">
        <w:tc>
          <w:tcPr>
            <w:tcW w:w="562" w:type="dxa"/>
          </w:tcPr>
          <w:p w14:paraId="3D6A7AAD" w14:textId="77777777" w:rsidR="00840E7D" w:rsidRPr="000054D9" w:rsidRDefault="00840E7D" w:rsidP="00A57181">
            <w:pPr>
              <w:pStyle w:val="Standard"/>
              <w:numPr>
                <w:ilvl w:val="0"/>
                <w:numId w:val="16"/>
              </w:numPr>
              <w:ind w:hanging="1049"/>
              <w:jc w:val="center"/>
              <w:rPr>
                <w:b/>
                <w:bCs/>
                <w:sz w:val="22"/>
              </w:rPr>
            </w:pPr>
          </w:p>
        </w:tc>
        <w:tc>
          <w:tcPr>
            <w:tcW w:w="2694" w:type="dxa"/>
          </w:tcPr>
          <w:p w14:paraId="38F11E02" w14:textId="7AE1C6E6" w:rsidR="00840E7D" w:rsidRDefault="00840E7D" w:rsidP="00340749">
            <w:pPr>
              <w:pStyle w:val="Standard"/>
              <w:jc w:val="both"/>
              <w:rPr>
                <w:b/>
                <w:bCs/>
                <w:sz w:val="22"/>
              </w:rPr>
            </w:pPr>
            <w:r>
              <w:rPr>
                <w:b/>
                <w:bCs/>
                <w:sz w:val="22"/>
              </w:rPr>
              <w:t>Kritērijs Nr. 3.3.</w:t>
            </w:r>
          </w:p>
        </w:tc>
        <w:tc>
          <w:tcPr>
            <w:tcW w:w="5112" w:type="dxa"/>
          </w:tcPr>
          <w:p w14:paraId="290B75FB" w14:textId="134F0FF0" w:rsidR="00840E7D" w:rsidRDefault="00840E7D" w:rsidP="00F5137A">
            <w:pPr>
              <w:pStyle w:val="Standard"/>
              <w:jc w:val="both"/>
              <w:rPr>
                <w:b/>
                <w:bCs/>
                <w:sz w:val="22"/>
              </w:rPr>
            </w:pPr>
            <w:r>
              <w:rPr>
                <w:b/>
                <w:bCs/>
                <w:sz w:val="22"/>
              </w:rPr>
              <w:t>Finanšu ministrija</w:t>
            </w:r>
            <w:r w:rsidR="002C5DC5">
              <w:rPr>
                <w:b/>
                <w:bCs/>
                <w:sz w:val="22"/>
              </w:rPr>
              <w:t xml:space="preserve"> (SD)</w:t>
            </w:r>
          </w:p>
          <w:p w14:paraId="2FB4803E" w14:textId="77777777" w:rsidR="00840E7D" w:rsidRDefault="00840E7D" w:rsidP="00F5137A">
            <w:pPr>
              <w:pStyle w:val="Standard"/>
              <w:jc w:val="both"/>
              <w:rPr>
                <w:b/>
                <w:bCs/>
                <w:sz w:val="22"/>
              </w:rPr>
            </w:pPr>
          </w:p>
          <w:p w14:paraId="381353BE" w14:textId="36EC09BD" w:rsidR="00840E7D" w:rsidRPr="00840E7D" w:rsidRDefault="00840E7D" w:rsidP="2F7B211B">
            <w:pPr>
              <w:pStyle w:val="Standard"/>
              <w:jc w:val="both"/>
              <w:rPr>
                <w:sz w:val="22"/>
              </w:rPr>
            </w:pPr>
            <w:r w:rsidRPr="61EC34E6">
              <w:rPr>
                <w:sz w:val="22"/>
              </w:rPr>
              <w:t xml:space="preserve">Lūdzam Kultūras ministriju izvērtēt, vai nepieciešams 3.3. specifiskais kritērijs, par principa “Nenodarīt būtisku kaitējumu” ievērošanu, ņemot vērā, ka atbilstoši principa “Nenodarīt būtisku kaitējumu” novērtējumam tam ir nebūtiska ietekme uz 4.3.2.SAM. </w:t>
            </w:r>
          </w:p>
          <w:p w14:paraId="16A4220B" w14:textId="77777777" w:rsidR="00840E7D" w:rsidRDefault="00840E7D" w:rsidP="00840E7D">
            <w:pPr>
              <w:pStyle w:val="Standard"/>
              <w:jc w:val="both"/>
              <w:rPr>
                <w:sz w:val="22"/>
              </w:rPr>
            </w:pPr>
            <w:r w:rsidRPr="00840E7D">
              <w:rPr>
                <w:sz w:val="22"/>
              </w:rPr>
              <w:t xml:space="preserve">Papildus norādām, ka ja nav paredzētas </w:t>
            </w:r>
            <w:proofErr w:type="gramStart"/>
            <w:r w:rsidRPr="00840E7D">
              <w:rPr>
                <w:sz w:val="22"/>
              </w:rPr>
              <w:t>papildus prasības</w:t>
            </w:r>
            <w:proofErr w:type="gramEnd"/>
            <w:r w:rsidRPr="00840E7D">
              <w:rPr>
                <w:sz w:val="22"/>
              </w:rPr>
              <w:t xml:space="preserve"> jau valsts normatīvajos aktos noteiktajam, tad aicinām šo kritēriju neiekļaut kritēriju komplektā.</w:t>
            </w:r>
          </w:p>
          <w:p w14:paraId="1519006E" w14:textId="58808254" w:rsidR="00840E7D" w:rsidRPr="00840E7D" w:rsidRDefault="00840E7D" w:rsidP="00840E7D">
            <w:pPr>
              <w:pStyle w:val="Standard"/>
              <w:jc w:val="both"/>
              <w:rPr>
                <w:sz w:val="22"/>
              </w:rPr>
            </w:pPr>
          </w:p>
        </w:tc>
        <w:tc>
          <w:tcPr>
            <w:tcW w:w="2790" w:type="dxa"/>
          </w:tcPr>
          <w:p w14:paraId="26B42698" w14:textId="262D8835" w:rsidR="00840E7D" w:rsidRPr="000054D9" w:rsidRDefault="559E84C6" w:rsidP="2F7B211B">
            <w:pPr>
              <w:pStyle w:val="Standard"/>
              <w:jc w:val="both"/>
              <w:rPr>
                <w:b/>
                <w:bCs/>
                <w:sz w:val="22"/>
              </w:rPr>
            </w:pPr>
            <w:r w:rsidRPr="00213D2A">
              <w:rPr>
                <w:b/>
                <w:bCs/>
                <w:sz w:val="22"/>
              </w:rPr>
              <w:t>Ņemts vērā</w:t>
            </w:r>
          </w:p>
          <w:p w14:paraId="41FC4AD4" w14:textId="416DB466" w:rsidR="00840E7D" w:rsidRPr="000054D9" w:rsidRDefault="00840E7D" w:rsidP="2F7B211B">
            <w:pPr>
              <w:pStyle w:val="Standard"/>
              <w:jc w:val="both"/>
              <w:rPr>
                <w:sz w:val="22"/>
              </w:rPr>
            </w:pPr>
          </w:p>
          <w:p w14:paraId="7B323D4C" w14:textId="5F663E44" w:rsidR="00840E7D" w:rsidRPr="000054D9" w:rsidRDefault="00E37443" w:rsidP="00213D2A">
            <w:pPr>
              <w:jc w:val="both"/>
              <w:rPr>
                <w:sz w:val="22"/>
              </w:rPr>
            </w:pPr>
            <w:r>
              <w:rPr>
                <w:sz w:val="22"/>
              </w:rPr>
              <w:t xml:space="preserve">3.3.kritērijs </w:t>
            </w:r>
            <w:r w:rsidRPr="61EC34E6">
              <w:rPr>
                <w:sz w:val="22"/>
              </w:rPr>
              <w:t>par principa “Nenodarīt būtisku kaitējumu” ievērošanu</w:t>
            </w:r>
            <w:r>
              <w:rPr>
                <w:sz w:val="22"/>
              </w:rPr>
              <w:t xml:space="preserve"> svītrots.</w:t>
            </w:r>
          </w:p>
        </w:tc>
        <w:tc>
          <w:tcPr>
            <w:tcW w:w="2790" w:type="dxa"/>
          </w:tcPr>
          <w:p w14:paraId="5166756F" w14:textId="77777777" w:rsidR="00840E7D" w:rsidRPr="000054D9" w:rsidRDefault="00840E7D" w:rsidP="00340749">
            <w:pPr>
              <w:pStyle w:val="Standard"/>
              <w:jc w:val="both"/>
              <w:rPr>
                <w:sz w:val="22"/>
              </w:rPr>
            </w:pPr>
          </w:p>
        </w:tc>
      </w:tr>
      <w:tr w:rsidR="00A57181" w:rsidRPr="000054D9" w14:paraId="58BE1AF6" w14:textId="77777777" w:rsidTr="61EC34E6">
        <w:tc>
          <w:tcPr>
            <w:tcW w:w="562" w:type="dxa"/>
          </w:tcPr>
          <w:p w14:paraId="1FB6847D" w14:textId="77777777" w:rsidR="00A57181" w:rsidRPr="000054D9" w:rsidRDefault="00A57181" w:rsidP="00A57181">
            <w:pPr>
              <w:pStyle w:val="Standard"/>
              <w:numPr>
                <w:ilvl w:val="0"/>
                <w:numId w:val="16"/>
              </w:numPr>
              <w:ind w:hanging="1049"/>
              <w:jc w:val="center"/>
              <w:rPr>
                <w:rFonts w:cs="Times New Roman"/>
                <w:b/>
                <w:bCs/>
                <w:sz w:val="22"/>
              </w:rPr>
            </w:pPr>
          </w:p>
        </w:tc>
        <w:tc>
          <w:tcPr>
            <w:tcW w:w="2694" w:type="dxa"/>
          </w:tcPr>
          <w:p w14:paraId="3805765E" w14:textId="55F65958" w:rsidR="00A57181" w:rsidRPr="000054D9" w:rsidRDefault="00F5137A" w:rsidP="00340749">
            <w:pPr>
              <w:pStyle w:val="Standard"/>
              <w:jc w:val="both"/>
              <w:rPr>
                <w:rFonts w:cs="Times New Roman"/>
                <w:b/>
                <w:bCs/>
                <w:sz w:val="22"/>
              </w:rPr>
            </w:pPr>
            <w:r>
              <w:rPr>
                <w:rFonts w:cs="Times New Roman"/>
                <w:b/>
                <w:bCs/>
                <w:sz w:val="22"/>
              </w:rPr>
              <w:t>Kritērijs Nr. 4.2.</w:t>
            </w:r>
          </w:p>
        </w:tc>
        <w:tc>
          <w:tcPr>
            <w:tcW w:w="5112" w:type="dxa"/>
          </w:tcPr>
          <w:p w14:paraId="0A9B17BA" w14:textId="77777777" w:rsidR="00A57181" w:rsidRPr="00F5137A" w:rsidRDefault="00F5137A" w:rsidP="00340749">
            <w:pPr>
              <w:pStyle w:val="Standard"/>
              <w:jc w:val="both"/>
              <w:rPr>
                <w:rFonts w:cs="Times New Roman"/>
                <w:b/>
                <w:bCs/>
                <w:sz w:val="22"/>
              </w:rPr>
            </w:pPr>
            <w:r w:rsidRPr="00F5137A">
              <w:rPr>
                <w:rFonts w:cs="Times New Roman"/>
                <w:b/>
                <w:bCs/>
                <w:sz w:val="22"/>
              </w:rPr>
              <w:t>Rīgas metropole</w:t>
            </w:r>
          </w:p>
          <w:p w14:paraId="6DA08DCA" w14:textId="77777777" w:rsidR="00F5137A" w:rsidRDefault="00F5137A" w:rsidP="00340749">
            <w:pPr>
              <w:pStyle w:val="Standard"/>
              <w:jc w:val="both"/>
              <w:rPr>
                <w:rFonts w:cs="Times New Roman"/>
                <w:sz w:val="22"/>
              </w:rPr>
            </w:pPr>
          </w:p>
          <w:p w14:paraId="79220DC4" w14:textId="0F14D663" w:rsidR="00F5137A" w:rsidRDefault="00F5137A" w:rsidP="61EC34E6">
            <w:pPr>
              <w:pStyle w:val="Standard"/>
              <w:jc w:val="both"/>
              <w:rPr>
                <w:rFonts w:cs="Times New Roman"/>
                <w:sz w:val="22"/>
              </w:rPr>
            </w:pPr>
            <w:r w:rsidRPr="61EC34E6">
              <w:rPr>
                <w:rFonts w:cs="Times New Roman"/>
                <w:sz w:val="22"/>
              </w:rPr>
              <w:t xml:space="preserve">Lai novērstu interpretācijas iespējas un nodrošinātu vienotu izpratni, lūdzam detalizētāk skaidrot, kādu informāciju nepieciešams sniegt, lai izpildītu izvirzīto skaidrojumu atbilstības noteikšanai </w:t>
            </w:r>
            <w:r w:rsidRPr="61EC34E6">
              <w:rPr>
                <w:rFonts w:cs="Times New Roman"/>
                <w:b/>
                <w:bCs/>
                <w:sz w:val="22"/>
              </w:rPr>
              <w:t>“sniegts skaidrs pamatojums attīstāmajiem pakalpojumiem”,</w:t>
            </w:r>
            <w:r w:rsidRPr="61EC34E6">
              <w:rPr>
                <w:rFonts w:cs="Times New Roman"/>
                <w:sz w:val="22"/>
              </w:rPr>
              <w:t xml:space="preserve"> piemēram, pakalpojuma apraksts, kas izriet no mērķa grupas vajadzībām, pakalpojuma pieejamība (vieta), pakalpojuma sniegšanas biežums u.c. nosacījumi.</w:t>
            </w:r>
          </w:p>
          <w:p w14:paraId="449ACE83" w14:textId="3EF51698" w:rsidR="00F5137A" w:rsidRPr="000054D9" w:rsidRDefault="00F5137A" w:rsidP="00340749">
            <w:pPr>
              <w:pStyle w:val="Standard"/>
              <w:jc w:val="both"/>
              <w:rPr>
                <w:rFonts w:cs="Times New Roman"/>
                <w:sz w:val="22"/>
              </w:rPr>
            </w:pPr>
          </w:p>
        </w:tc>
        <w:tc>
          <w:tcPr>
            <w:tcW w:w="2790" w:type="dxa"/>
          </w:tcPr>
          <w:p w14:paraId="6F660956" w14:textId="75F09079" w:rsidR="00A57181" w:rsidRPr="000054D9" w:rsidRDefault="6D9D7074" w:rsidP="61EC34E6">
            <w:pPr>
              <w:pStyle w:val="Standard"/>
              <w:jc w:val="both"/>
            </w:pPr>
            <w:r w:rsidRPr="61EC34E6">
              <w:rPr>
                <w:rFonts w:cs="Times New Roman"/>
                <w:b/>
                <w:bCs/>
                <w:sz w:val="22"/>
              </w:rPr>
              <w:lastRenderedPageBreak/>
              <w:t>Skaidrojam</w:t>
            </w:r>
          </w:p>
          <w:p w14:paraId="346C0080" w14:textId="3E50D54C" w:rsidR="00A57181" w:rsidRPr="000054D9" w:rsidRDefault="00A57181" w:rsidP="61EC34E6">
            <w:pPr>
              <w:pStyle w:val="Standard"/>
              <w:jc w:val="both"/>
              <w:rPr>
                <w:rFonts w:cs="Times New Roman"/>
                <w:b/>
                <w:bCs/>
                <w:sz w:val="22"/>
              </w:rPr>
            </w:pPr>
          </w:p>
          <w:p w14:paraId="0ED6B477" w14:textId="2F4DB7A1" w:rsidR="00A57181" w:rsidRPr="000054D9" w:rsidRDefault="0011368E" w:rsidP="61EC34E6">
            <w:pPr>
              <w:spacing w:line="259" w:lineRule="auto"/>
              <w:jc w:val="both"/>
            </w:pPr>
            <w:r w:rsidRPr="61EC34E6">
              <w:rPr>
                <w:rStyle w:val="normaltextrun"/>
                <w:rFonts w:ascii="Times New Roman" w:eastAsia="Times New Roman" w:hAnsi="Times New Roman" w:cs="Times New Roman"/>
                <w:color w:val="000000" w:themeColor="text1"/>
              </w:rPr>
              <w:t xml:space="preserve">Piemērošanas metodika skaidro, ka tiks vērtēts, vai projekta iesniegumā </w:t>
            </w:r>
            <w:r w:rsidRPr="61EC34E6">
              <w:rPr>
                <w:rFonts w:eastAsia="Times New Roman" w:cs="Times New Roman"/>
                <w:color w:val="000000" w:themeColor="text1"/>
                <w:sz w:val="22"/>
              </w:rPr>
              <w:t xml:space="preserve">izvēlētais aktivitāšu saturs, metodes un izpausmes veids ir atbilstošs darbam ar konkrēto mērķa grupas segmentu un balstās uz </w:t>
            </w:r>
            <w:r w:rsidRPr="61EC34E6">
              <w:rPr>
                <w:rFonts w:eastAsia="Times New Roman" w:cs="Times New Roman"/>
                <w:color w:val="000000" w:themeColor="text1"/>
                <w:sz w:val="22"/>
              </w:rPr>
              <w:lastRenderedPageBreak/>
              <w:t>mērķa grupas interesēm un nodrošina satura pieejamību.</w:t>
            </w:r>
          </w:p>
          <w:p w14:paraId="01F153AE" w14:textId="4FBE8B06" w:rsidR="00A57181" w:rsidRPr="000054D9" w:rsidRDefault="00A57181" w:rsidP="61EC34E6">
            <w:pPr>
              <w:pStyle w:val="Standard"/>
              <w:jc w:val="both"/>
              <w:rPr>
                <w:rFonts w:cs="Times New Roman"/>
                <w:b/>
                <w:bCs/>
                <w:sz w:val="22"/>
              </w:rPr>
            </w:pPr>
          </w:p>
        </w:tc>
        <w:tc>
          <w:tcPr>
            <w:tcW w:w="2790" w:type="dxa"/>
          </w:tcPr>
          <w:p w14:paraId="2223F6C1" w14:textId="77777777" w:rsidR="00A57181" w:rsidRPr="000054D9" w:rsidRDefault="00A57181" w:rsidP="00340749">
            <w:pPr>
              <w:pStyle w:val="Standard"/>
              <w:jc w:val="both"/>
              <w:rPr>
                <w:rFonts w:cs="Times New Roman"/>
                <w:sz w:val="22"/>
              </w:rPr>
            </w:pPr>
          </w:p>
        </w:tc>
      </w:tr>
      <w:tr w:rsidR="00A57181" w:rsidRPr="000054D9" w14:paraId="1246F4D2" w14:textId="77777777" w:rsidTr="61EC34E6">
        <w:tc>
          <w:tcPr>
            <w:tcW w:w="562" w:type="dxa"/>
          </w:tcPr>
          <w:p w14:paraId="101D3FD6" w14:textId="77777777" w:rsidR="00A57181" w:rsidRPr="000054D9" w:rsidRDefault="00A57181" w:rsidP="00A57181">
            <w:pPr>
              <w:pStyle w:val="Standard"/>
              <w:numPr>
                <w:ilvl w:val="0"/>
                <w:numId w:val="16"/>
              </w:numPr>
              <w:ind w:hanging="1049"/>
              <w:jc w:val="center"/>
              <w:rPr>
                <w:rFonts w:cs="Times New Roman"/>
                <w:b/>
                <w:bCs/>
                <w:sz w:val="22"/>
              </w:rPr>
            </w:pPr>
          </w:p>
        </w:tc>
        <w:tc>
          <w:tcPr>
            <w:tcW w:w="2694" w:type="dxa"/>
          </w:tcPr>
          <w:p w14:paraId="4D26C0DE" w14:textId="0F213DEB" w:rsidR="00A57181" w:rsidRPr="000054D9" w:rsidRDefault="00F5137A" w:rsidP="00340749">
            <w:pPr>
              <w:pStyle w:val="Standard"/>
              <w:jc w:val="both"/>
              <w:rPr>
                <w:rFonts w:cs="Times New Roman"/>
                <w:b/>
                <w:bCs/>
                <w:sz w:val="22"/>
              </w:rPr>
            </w:pPr>
            <w:r>
              <w:rPr>
                <w:rFonts w:cs="Times New Roman"/>
                <w:b/>
                <w:bCs/>
                <w:sz w:val="22"/>
              </w:rPr>
              <w:t>Kritērijs Nr. 4.3.</w:t>
            </w:r>
          </w:p>
        </w:tc>
        <w:tc>
          <w:tcPr>
            <w:tcW w:w="5112" w:type="dxa"/>
          </w:tcPr>
          <w:p w14:paraId="222382EC" w14:textId="77777777" w:rsidR="00F5137A" w:rsidRPr="00F5137A" w:rsidRDefault="00F5137A" w:rsidP="00F5137A">
            <w:pPr>
              <w:pStyle w:val="Standard"/>
              <w:jc w:val="both"/>
              <w:rPr>
                <w:rFonts w:cs="Times New Roman"/>
                <w:b/>
                <w:bCs/>
                <w:sz w:val="22"/>
              </w:rPr>
            </w:pPr>
            <w:r w:rsidRPr="00F5137A">
              <w:rPr>
                <w:rFonts w:cs="Times New Roman"/>
                <w:b/>
                <w:bCs/>
                <w:sz w:val="22"/>
              </w:rPr>
              <w:t>Rīgas metropole</w:t>
            </w:r>
          </w:p>
          <w:p w14:paraId="4BCA017D" w14:textId="77777777" w:rsidR="00A57181" w:rsidRDefault="00A57181" w:rsidP="00340749">
            <w:pPr>
              <w:pStyle w:val="Standard"/>
              <w:jc w:val="both"/>
              <w:rPr>
                <w:rFonts w:cs="Times New Roman"/>
                <w:sz w:val="22"/>
              </w:rPr>
            </w:pPr>
          </w:p>
          <w:p w14:paraId="6E2B1A13" w14:textId="77777777" w:rsidR="00F5137A" w:rsidRPr="00F5137A" w:rsidRDefault="00F5137A" w:rsidP="61EC34E6">
            <w:pPr>
              <w:pStyle w:val="Standard"/>
              <w:jc w:val="both"/>
              <w:rPr>
                <w:rFonts w:cs="Times New Roman"/>
                <w:sz w:val="22"/>
              </w:rPr>
            </w:pPr>
            <w:r w:rsidRPr="61EC34E6">
              <w:rPr>
                <w:rFonts w:cs="Times New Roman"/>
                <w:sz w:val="22"/>
              </w:rPr>
              <w:t xml:space="preserve">Ņemot vērā, ka viens no pamatnosacījumiem par projekta atbilstību 4.3.2.SAM paredz, ka uz projekta iesniegšanas dienu ir apstiprināta organizācijas darbības stratēģija, kas pašvaldības gadījumā ir </w:t>
            </w:r>
            <w:r w:rsidRPr="61EC34E6">
              <w:rPr>
                <w:rFonts w:cs="Times New Roman"/>
                <w:b/>
                <w:bCs/>
                <w:sz w:val="22"/>
              </w:rPr>
              <w:t>teritorijas attīstības plānošanas dokuments,</w:t>
            </w:r>
            <w:r w:rsidRPr="61EC34E6">
              <w:rPr>
                <w:rFonts w:cs="Times New Roman"/>
                <w:sz w:val="22"/>
              </w:rPr>
              <w:t xml:space="preserve"> kurā noteikti vidēja termiņa darbības mērķi jeb Attīstības programma, vēršam uzmanību, ka pašvaldībām Kritērija Nr.4.3. iekļauto nosacījumu izpilde ir ierobežota. Skaidrojam, ka Attīstības programmā ir iekļauta informācija par pašvaldības darbības izvirzītajiem mērķiem un uzdevumiem, atspoguļojot pašvaldības attīstības plānošanu un budžeta plānošanu. Līdz ar to Rīcības plānā un Investīciju plānā ir ietverti visi pašvaldības investīciju projekti vai projektu idejas, kas realizējamas, lai sasniegtu Attīstības programmas stratēģiskajā daļā izvirzītās prioritātes. Investīciju plānā atspoguļoti plānotie investīciju projekti, to īstenošanas termiņi, atbildīgie par investīciju projekta īstenošanu, kā arī indikatīvi nepieciešamais finansējuma apjoms un avoti, </w:t>
            </w:r>
            <w:r w:rsidRPr="61EC34E6">
              <w:rPr>
                <w:rFonts w:cs="Times New Roman"/>
                <w:b/>
                <w:bCs/>
                <w:sz w:val="22"/>
              </w:rPr>
              <w:t>neiekļaujot informāciju,</w:t>
            </w:r>
            <w:r w:rsidRPr="61EC34E6">
              <w:rPr>
                <w:rFonts w:cs="Times New Roman"/>
                <w:sz w:val="22"/>
              </w:rPr>
              <w:t xml:space="preserve"> piemēram, par pakalpojuma maksu samazināšanu sociāli mazāk aizsargātām grupām, vai no kādiem līdzekļiem un kādā periodā tiks nodrošināta izveidotās infrastruktūras uzturēšana pēc projekta īstenošanas. Šāda veida informācija jau tiek detalizēti norādīta pašvaldības domes lēmumā par nepieciešamā finansējuma nodrošināšanu vai projekta iesniegumā, vai cita veida apliecinājumos. T</w:t>
            </w:r>
            <w:r w:rsidRPr="61EC34E6">
              <w:rPr>
                <w:rFonts w:cs="Times New Roman"/>
                <w:b/>
                <w:bCs/>
                <w:sz w:val="22"/>
              </w:rPr>
              <w:t xml:space="preserve">urklāt, ja finansējuma saņēmējs ir pašvaldība, kam projekta īstenošanai ir jāpiesaista sadarbības partneris (kultūras operators), pašvaldībai nav </w:t>
            </w:r>
            <w:r w:rsidRPr="61EC34E6">
              <w:rPr>
                <w:rFonts w:cs="Times New Roman"/>
                <w:b/>
                <w:bCs/>
                <w:sz w:val="22"/>
              </w:rPr>
              <w:lastRenderedPageBreak/>
              <w:t>tiesību Attīstības programmā noteikt, ka sadarbības partnerim (trešajai pusei) tiek piemērotas vai uzliktas noteiktas prasības,</w:t>
            </w:r>
            <w:r w:rsidRPr="61EC34E6">
              <w:rPr>
                <w:rFonts w:cs="Times New Roman"/>
                <w:sz w:val="22"/>
              </w:rPr>
              <w:t xml:space="preserve"> piemēram, par projekta rezultātu uzturēšanu pēc projekta pabeigšanas vai par pakalpojumam maksas samazināšanu kādai mērķa grupai. Prasību piemērošana sadarbības partnerim būtu nosakāma tikai sadarbības līguma ietvaros par projekta īstenošanu.</w:t>
            </w:r>
          </w:p>
          <w:p w14:paraId="62C1F377" w14:textId="06944EDB" w:rsidR="00F5137A" w:rsidRPr="000054D9" w:rsidRDefault="00F5137A" w:rsidP="00F5137A">
            <w:pPr>
              <w:pStyle w:val="Standard"/>
              <w:jc w:val="both"/>
              <w:rPr>
                <w:rFonts w:cs="Times New Roman"/>
                <w:sz w:val="22"/>
              </w:rPr>
            </w:pPr>
            <w:r w:rsidRPr="00F5137A">
              <w:rPr>
                <w:rFonts w:cs="Times New Roman"/>
                <w:sz w:val="22"/>
              </w:rPr>
              <w:t>Attiecīgi ievērojot iepriekš minēto, lūdzam precizēt kritēriju Nr.4.3, nosakot, ka informācija, kas pamato finansējuma saņēmēja projekta attīstības sociālekonomiskos ieguvumus, ir identificējama citos dokumentos, piemēram, projekta iesniegumā, apliecinājumos, izmaksu un ieguvumu analīzē u.c.</w:t>
            </w:r>
          </w:p>
        </w:tc>
        <w:tc>
          <w:tcPr>
            <w:tcW w:w="2790" w:type="dxa"/>
          </w:tcPr>
          <w:p w14:paraId="6278C6D5" w14:textId="508C4FF6" w:rsidR="00A57181" w:rsidRPr="000054D9" w:rsidRDefault="25437AE2" w:rsidP="2F7B211B">
            <w:pPr>
              <w:pStyle w:val="Standard"/>
              <w:jc w:val="both"/>
              <w:rPr>
                <w:rFonts w:cs="Times New Roman"/>
                <w:b/>
                <w:bCs/>
                <w:sz w:val="22"/>
              </w:rPr>
            </w:pPr>
            <w:r w:rsidRPr="2F7B211B">
              <w:rPr>
                <w:rFonts w:cs="Times New Roman"/>
                <w:b/>
                <w:bCs/>
                <w:sz w:val="22"/>
              </w:rPr>
              <w:lastRenderedPageBreak/>
              <w:t>Skaidrojam</w:t>
            </w:r>
          </w:p>
          <w:p w14:paraId="5EB4986E" w14:textId="5167698C" w:rsidR="00A57181" w:rsidRPr="000054D9" w:rsidRDefault="00A57181" w:rsidP="2F7B211B">
            <w:pPr>
              <w:pStyle w:val="Standard"/>
              <w:jc w:val="both"/>
              <w:rPr>
                <w:rFonts w:cs="Times New Roman"/>
                <w:sz w:val="22"/>
              </w:rPr>
            </w:pPr>
          </w:p>
          <w:p w14:paraId="0B674FA2" w14:textId="3E5BA7DF" w:rsidR="00A57181" w:rsidRPr="000054D9" w:rsidRDefault="0E11BBE6" w:rsidP="61EC34E6">
            <w:pPr>
              <w:pStyle w:val="Standard"/>
              <w:jc w:val="both"/>
            </w:pPr>
            <w:r w:rsidRPr="61EC34E6">
              <w:rPr>
                <w:rFonts w:cs="Times New Roman"/>
                <w:sz w:val="22"/>
              </w:rPr>
              <w:t xml:space="preserve">Skaidrojam, ka atbilstoši 4.3.kritērijam tiek vērtēta organizācijas darbības stratēģija. </w:t>
            </w:r>
            <w:r w:rsidR="082F57A4" w:rsidRPr="61EC34E6">
              <w:rPr>
                <w:rFonts w:cs="Times New Roman"/>
                <w:sz w:val="22"/>
              </w:rPr>
              <w:t>Projekta iesniedzējs - pašvaldība p</w:t>
            </w:r>
            <w:r w:rsidR="082F57A4" w:rsidRPr="61EC34E6">
              <w:rPr>
                <w:rFonts w:eastAsiaTheme="minorEastAsia" w:cs="Times New Roman"/>
                <w:sz w:val="22"/>
              </w:rPr>
              <w:t xml:space="preserve">rojekta īstenošanā piesaista </w:t>
            </w:r>
            <w:r w:rsidR="13771E64" w:rsidRPr="61EC34E6">
              <w:rPr>
                <w:rFonts w:eastAsiaTheme="minorEastAsia" w:cs="Times New Roman"/>
                <w:sz w:val="22"/>
              </w:rPr>
              <w:t>sadarbības partneri, kura pamatdarbība ir kultūras vai radošajā nozarē, attiecīgi atbilstoši kvalitātes kritērijam Nr.4.3. tiks vērtēta sadarbības partnera</w:t>
            </w:r>
            <w:r w:rsidR="5A2E5481" w:rsidRPr="61EC34E6">
              <w:rPr>
                <w:rFonts w:eastAsiaTheme="minorEastAsia" w:cs="Times New Roman"/>
                <w:sz w:val="22"/>
              </w:rPr>
              <w:t xml:space="preserve"> - organizācijas</w:t>
            </w:r>
            <w:r w:rsidR="13771E64" w:rsidRPr="61EC34E6">
              <w:rPr>
                <w:rFonts w:eastAsiaTheme="minorEastAsia" w:cs="Times New Roman"/>
                <w:sz w:val="22"/>
              </w:rPr>
              <w:t xml:space="preserve"> darbības stratēģija.</w:t>
            </w:r>
          </w:p>
          <w:p w14:paraId="45A60EDF" w14:textId="3548BBD9" w:rsidR="00A57181" w:rsidRPr="000054D9" w:rsidRDefault="3C0D4EE8" w:rsidP="61EC34E6">
            <w:pPr>
              <w:pStyle w:val="Standard"/>
              <w:jc w:val="both"/>
              <w:rPr>
                <w:rFonts w:cs="Times New Roman"/>
                <w:sz w:val="22"/>
              </w:rPr>
            </w:pPr>
            <w:r w:rsidRPr="61EC34E6">
              <w:rPr>
                <w:rFonts w:cs="Times New Roman"/>
                <w:sz w:val="22"/>
              </w:rPr>
              <w:t>Attiecīgi, ja finansējuma saņēmējs ir pašvaldība, kam projekta īstenošanai ir jāpiesaista sadarbības partneris (kultūras operators), pašvaldībai nav nepieciešams Attīstības programmā noteikt, ka sadarbības partnerim (trešajai pusei) tiek piemērotas vai uzliktas noteiktas prasības.</w:t>
            </w:r>
          </w:p>
        </w:tc>
        <w:tc>
          <w:tcPr>
            <w:tcW w:w="2790" w:type="dxa"/>
          </w:tcPr>
          <w:p w14:paraId="0E955768" w14:textId="77777777" w:rsidR="00A57181" w:rsidRPr="000054D9" w:rsidRDefault="00A57181" w:rsidP="00340749">
            <w:pPr>
              <w:pStyle w:val="Standard"/>
              <w:jc w:val="both"/>
              <w:rPr>
                <w:rFonts w:cs="Times New Roman"/>
                <w:sz w:val="22"/>
              </w:rPr>
            </w:pPr>
          </w:p>
        </w:tc>
      </w:tr>
      <w:tr w:rsidR="00840E7D" w:rsidRPr="000054D9" w14:paraId="41AE7489" w14:textId="77777777" w:rsidTr="61EC34E6">
        <w:tc>
          <w:tcPr>
            <w:tcW w:w="562" w:type="dxa"/>
          </w:tcPr>
          <w:p w14:paraId="1C7BF31C" w14:textId="77777777" w:rsidR="00840E7D" w:rsidRPr="000054D9" w:rsidRDefault="00840E7D" w:rsidP="00A57181">
            <w:pPr>
              <w:pStyle w:val="Standard"/>
              <w:numPr>
                <w:ilvl w:val="0"/>
                <w:numId w:val="16"/>
              </w:numPr>
              <w:ind w:hanging="1049"/>
              <w:jc w:val="center"/>
              <w:rPr>
                <w:b/>
                <w:bCs/>
                <w:sz w:val="22"/>
              </w:rPr>
            </w:pPr>
          </w:p>
        </w:tc>
        <w:tc>
          <w:tcPr>
            <w:tcW w:w="2694" w:type="dxa"/>
          </w:tcPr>
          <w:p w14:paraId="5A2A39E9" w14:textId="685097E8" w:rsidR="00840E7D" w:rsidRDefault="00840E7D" w:rsidP="00340749">
            <w:pPr>
              <w:pStyle w:val="Standard"/>
              <w:jc w:val="both"/>
              <w:rPr>
                <w:b/>
                <w:bCs/>
                <w:sz w:val="22"/>
              </w:rPr>
            </w:pPr>
            <w:r>
              <w:rPr>
                <w:rFonts w:cs="Times New Roman"/>
                <w:b/>
                <w:bCs/>
                <w:sz w:val="22"/>
              </w:rPr>
              <w:t>Kritērijs Nr. 4.3.</w:t>
            </w:r>
          </w:p>
        </w:tc>
        <w:tc>
          <w:tcPr>
            <w:tcW w:w="5112" w:type="dxa"/>
          </w:tcPr>
          <w:p w14:paraId="5B2321A2" w14:textId="19B7458F" w:rsidR="002C5DC5" w:rsidRDefault="00840E7D" w:rsidP="002C5DC5">
            <w:pPr>
              <w:pStyle w:val="Standard"/>
              <w:jc w:val="both"/>
              <w:rPr>
                <w:b/>
                <w:bCs/>
                <w:sz w:val="22"/>
              </w:rPr>
            </w:pPr>
            <w:r>
              <w:rPr>
                <w:b/>
                <w:bCs/>
                <w:sz w:val="22"/>
              </w:rPr>
              <w:t>Finanšu ministrija</w:t>
            </w:r>
            <w:r w:rsidR="002C5DC5">
              <w:rPr>
                <w:b/>
                <w:bCs/>
                <w:sz w:val="22"/>
              </w:rPr>
              <w:t xml:space="preserve"> (SD)</w:t>
            </w:r>
          </w:p>
          <w:p w14:paraId="6ED68DC1" w14:textId="6DCE2D93" w:rsidR="00840E7D" w:rsidRDefault="00840E7D" w:rsidP="00F5137A">
            <w:pPr>
              <w:pStyle w:val="Standard"/>
              <w:jc w:val="both"/>
              <w:rPr>
                <w:b/>
                <w:bCs/>
                <w:sz w:val="22"/>
              </w:rPr>
            </w:pPr>
          </w:p>
          <w:p w14:paraId="0CD275B0" w14:textId="588E9A30" w:rsidR="00840E7D" w:rsidRDefault="00840E7D" w:rsidP="00840E7D">
            <w:pPr>
              <w:pStyle w:val="Standard"/>
              <w:jc w:val="both"/>
              <w:rPr>
                <w:sz w:val="22"/>
              </w:rPr>
            </w:pPr>
            <w:r w:rsidRPr="00840E7D">
              <w:rPr>
                <w:sz w:val="22"/>
              </w:rPr>
              <w:t xml:space="preserve">Lūdzam </w:t>
            </w:r>
            <w:r w:rsidR="00144BC7">
              <w:rPr>
                <w:sz w:val="22"/>
              </w:rPr>
              <w:t>precizēt</w:t>
            </w:r>
            <w:r w:rsidR="00144BC7" w:rsidRPr="00840E7D">
              <w:rPr>
                <w:sz w:val="22"/>
              </w:rPr>
              <w:t xml:space="preserve"> </w:t>
            </w:r>
            <w:r w:rsidRPr="00840E7D">
              <w:rPr>
                <w:sz w:val="22"/>
              </w:rPr>
              <w:t>4.3.3. kvalitātes kritērijā noteikto termiņu pakalpojumiem.</w:t>
            </w:r>
          </w:p>
          <w:p w14:paraId="1DC13E5B" w14:textId="77777777" w:rsidR="00840E7D" w:rsidRPr="00840E7D" w:rsidRDefault="00840E7D" w:rsidP="00840E7D">
            <w:pPr>
              <w:pStyle w:val="Standard"/>
              <w:jc w:val="both"/>
              <w:rPr>
                <w:sz w:val="22"/>
              </w:rPr>
            </w:pPr>
          </w:p>
          <w:p w14:paraId="00F99564" w14:textId="77777777" w:rsidR="00840E7D" w:rsidRPr="00840E7D" w:rsidRDefault="00840E7D" w:rsidP="00840E7D">
            <w:pPr>
              <w:pStyle w:val="Standard"/>
              <w:jc w:val="both"/>
              <w:rPr>
                <w:sz w:val="22"/>
              </w:rPr>
            </w:pPr>
            <w:r w:rsidRPr="00840E7D">
              <w:rPr>
                <w:sz w:val="22"/>
              </w:rPr>
              <w:t xml:space="preserve">Norādām, ka atbilstoši Eiropas Parlamenta un Padomes 2021. gada 14. jūnija </w:t>
            </w:r>
            <w:r w:rsidRPr="00920991">
              <w:rPr>
                <w:b/>
                <w:bCs/>
                <w:sz w:val="22"/>
              </w:rPr>
              <w:t>Regulas (ES) 2021/1060</w:t>
            </w:r>
            <w:r w:rsidRPr="00840E7D">
              <w:rPr>
                <w:sz w:val="22"/>
              </w:rPr>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920991">
              <w:rPr>
                <w:b/>
                <w:bCs/>
                <w:sz w:val="22"/>
              </w:rPr>
              <w:t>65. pantam ERAF vai KF ieguldījumos (infrastruktūras būvniecībā, aprīkojuma, tehniskā nodrošinājuma iegādē un IKT infrastruktūra)</w:t>
            </w:r>
            <w:r w:rsidRPr="00840E7D">
              <w:rPr>
                <w:sz w:val="22"/>
              </w:rPr>
              <w:t xml:space="preserve"> </w:t>
            </w:r>
            <w:r w:rsidRPr="00920991">
              <w:rPr>
                <w:b/>
                <w:bCs/>
                <w:sz w:val="22"/>
              </w:rPr>
              <w:t>ilgtspēja jānodrošina vismaz piecus gadus</w:t>
            </w:r>
            <w:r w:rsidRPr="00840E7D">
              <w:rPr>
                <w:sz w:val="22"/>
              </w:rPr>
              <w:t xml:space="preserve">. </w:t>
            </w:r>
          </w:p>
          <w:p w14:paraId="4305B6AE" w14:textId="77777777" w:rsidR="00840E7D" w:rsidRPr="00840E7D" w:rsidRDefault="00840E7D" w:rsidP="00840E7D">
            <w:pPr>
              <w:pStyle w:val="Standard"/>
              <w:jc w:val="both"/>
              <w:rPr>
                <w:sz w:val="22"/>
              </w:rPr>
            </w:pPr>
          </w:p>
          <w:p w14:paraId="4D3E0FCE" w14:textId="5FFAA627" w:rsidR="00840E7D" w:rsidRPr="00840E7D" w:rsidRDefault="00840E7D" w:rsidP="00840E7D">
            <w:pPr>
              <w:pStyle w:val="Standard"/>
              <w:jc w:val="both"/>
              <w:rPr>
                <w:sz w:val="22"/>
              </w:rPr>
            </w:pPr>
            <w:r w:rsidRPr="00840E7D">
              <w:rPr>
                <w:sz w:val="22"/>
              </w:rPr>
              <w:lastRenderedPageBreak/>
              <w:t xml:space="preserve">Vienlaikus lūdzam skaidrot kā </w:t>
            </w:r>
            <w:r>
              <w:rPr>
                <w:sz w:val="22"/>
              </w:rPr>
              <w:t>finansējuma saņēmējs</w:t>
            </w:r>
            <w:r w:rsidRPr="00840E7D">
              <w:rPr>
                <w:sz w:val="22"/>
              </w:rPr>
              <w:t xml:space="preserve"> un </w:t>
            </w:r>
            <w:r>
              <w:rPr>
                <w:sz w:val="22"/>
              </w:rPr>
              <w:t>sadarbības partneris</w:t>
            </w:r>
            <w:r w:rsidRPr="00840E7D">
              <w:rPr>
                <w:sz w:val="22"/>
              </w:rPr>
              <w:t xml:space="preserve"> </w:t>
            </w:r>
            <w:r w:rsidR="00144BC7">
              <w:rPr>
                <w:sz w:val="22"/>
              </w:rPr>
              <w:t>plāno</w:t>
            </w:r>
            <w:r w:rsidR="00144BC7" w:rsidRPr="00840E7D">
              <w:rPr>
                <w:sz w:val="22"/>
              </w:rPr>
              <w:t xml:space="preserve"> </w:t>
            </w:r>
            <w:r w:rsidRPr="00840E7D">
              <w:rPr>
                <w:sz w:val="22"/>
              </w:rPr>
              <w:t>nodrošināt šo prasību</w:t>
            </w:r>
            <w:r>
              <w:rPr>
                <w:sz w:val="22"/>
              </w:rPr>
              <w:t xml:space="preserve"> izpildi</w:t>
            </w:r>
            <w:r w:rsidRPr="00840E7D">
              <w:rPr>
                <w:sz w:val="22"/>
              </w:rPr>
              <w:t>, it sevišķi nevalstiskās organizācijas.</w:t>
            </w:r>
          </w:p>
          <w:p w14:paraId="60F13437" w14:textId="77777777" w:rsidR="00840E7D" w:rsidRPr="00840E7D" w:rsidRDefault="00840E7D" w:rsidP="00840E7D">
            <w:pPr>
              <w:pStyle w:val="Standard"/>
              <w:jc w:val="both"/>
              <w:rPr>
                <w:sz w:val="22"/>
              </w:rPr>
            </w:pPr>
          </w:p>
          <w:p w14:paraId="3894F518" w14:textId="7E3009C2" w:rsidR="00840E7D" w:rsidRPr="000D0EF3" w:rsidRDefault="00144BC7" w:rsidP="61EC34E6">
            <w:pPr>
              <w:pStyle w:val="Standard"/>
              <w:jc w:val="both"/>
              <w:rPr>
                <w:sz w:val="22"/>
              </w:rPr>
            </w:pPr>
            <w:r w:rsidRPr="000D0EF3">
              <w:rPr>
                <w:sz w:val="22"/>
              </w:rPr>
              <w:t>Papildus vēršam uzmanību, ka</w:t>
            </w:r>
            <w:r w:rsidR="00840E7D" w:rsidRPr="000D0EF3">
              <w:rPr>
                <w:sz w:val="22"/>
              </w:rPr>
              <w:t xml:space="preserve"> gadījumos, kad ir plānotas investīcijas infrastruktūrā, kuru plānotais kalpošanas laiks ir vismaz </w:t>
            </w:r>
            <w:r w:rsidRPr="000D0EF3">
              <w:rPr>
                <w:sz w:val="22"/>
              </w:rPr>
              <w:t xml:space="preserve">pieci </w:t>
            </w:r>
            <w:r w:rsidR="00840E7D" w:rsidRPr="000D0EF3">
              <w:rPr>
                <w:sz w:val="22"/>
              </w:rPr>
              <w:t xml:space="preserve">gadi, tām ir nepieciešams nodrošināt </w:t>
            </w:r>
            <w:proofErr w:type="spellStart"/>
            <w:r w:rsidR="00840E7D" w:rsidRPr="000D0EF3">
              <w:rPr>
                <w:sz w:val="22"/>
              </w:rPr>
              <w:t>klimatdrošināšanu</w:t>
            </w:r>
            <w:proofErr w:type="spellEnd"/>
            <w:r w:rsidR="00840E7D" w:rsidRPr="000D0EF3">
              <w:rPr>
                <w:sz w:val="22"/>
              </w:rPr>
              <w:t xml:space="preserve">, </w:t>
            </w:r>
            <w:proofErr w:type="gramStart"/>
            <w:r w:rsidR="00840E7D" w:rsidRPr="000D0EF3">
              <w:rPr>
                <w:sz w:val="22"/>
              </w:rPr>
              <w:t>t.i.</w:t>
            </w:r>
            <w:proofErr w:type="gramEnd"/>
            <w:r w:rsidR="00840E7D" w:rsidRPr="000D0EF3">
              <w:rPr>
                <w:sz w:val="22"/>
              </w:rPr>
              <w:t xml:space="preserve"> specifiskais kritērijs, kas palīdz ieviest HP “</w:t>
            </w:r>
            <w:proofErr w:type="spellStart"/>
            <w:r w:rsidR="00840E7D" w:rsidRPr="000D0EF3">
              <w:rPr>
                <w:sz w:val="22"/>
              </w:rPr>
              <w:t>Klimatdrošināšana</w:t>
            </w:r>
            <w:proofErr w:type="spellEnd"/>
            <w:r w:rsidR="00840E7D" w:rsidRPr="000D0EF3">
              <w:rPr>
                <w:sz w:val="22"/>
              </w:rPr>
              <w:t>” principus. Attiecīgi lūdzam izvērtēt</w:t>
            </w:r>
            <w:proofErr w:type="gramStart"/>
            <w:r w:rsidR="00840E7D" w:rsidRPr="000D0EF3">
              <w:rPr>
                <w:sz w:val="22"/>
              </w:rPr>
              <w:t xml:space="preserve"> vai šāds kritērijs ir iekļaujams</w:t>
            </w:r>
            <w:proofErr w:type="gramEnd"/>
            <w:r w:rsidR="00840E7D" w:rsidRPr="000D0EF3">
              <w:rPr>
                <w:sz w:val="22"/>
              </w:rPr>
              <w:t>.</w:t>
            </w:r>
          </w:p>
          <w:p w14:paraId="20FC7717" w14:textId="206D0EC7" w:rsidR="00840E7D" w:rsidRPr="00840E7D" w:rsidRDefault="00840E7D" w:rsidP="00840E7D">
            <w:pPr>
              <w:pStyle w:val="Standard"/>
              <w:jc w:val="both"/>
              <w:rPr>
                <w:sz w:val="22"/>
              </w:rPr>
            </w:pPr>
          </w:p>
        </w:tc>
        <w:tc>
          <w:tcPr>
            <w:tcW w:w="2790" w:type="dxa"/>
          </w:tcPr>
          <w:p w14:paraId="7A986054" w14:textId="2F82A2DC" w:rsidR="1F9AD2E3" w:rsidRDefault="1F9AD2E3" w:rsidP="61EC34E6">
            <w:pPr>
              <w:pStyle w:val="Standard"/>
              <w:jc w:val="both"/>
              <w:rPr>
                <w:b/>
                <w:bCs/>
                <w:sz w:val="22"/>
              </w:rPr>
            </w:pPr>
            <w:r w:rsidRPr="61EC34E6">
              <w:rPr>
                <w:b/>
                <w:bCs/>
                <w:sz w:val="22"/>
              </w:rPr>
              <w:lastRenderedPageBreak/>
              <w:t>Ņemts vērā</w:t>
            </w:r>
          </w:p>
          <w:p w14:paraId="07B67A90" w14:textId="6A75AF95" w:rsidR="00840E7D" w:rsidRPr="000054D9" w:rsidRDefault="00840E7D" w:rsidP="2F7B211B">
            <w:pPr>
              <w:pStyle w:val="Standard"/>
              <w:jc w:val="both"/>
              <w:rPr>
                <w:sz w:val="22"/>
              </w:rPr>
            </w:pPr>
          </w:p>
          <w:p w14:paraId="0FD745CF" w14:textId="23AFF5A9" w:rsidR="00840E7D" w:rsidRPr="000054D9" w:rsidRDefault="350A7CEA" w:rsidP="61EC34E6">
            <w:pPr>
              <w:pStyle w:val="Standard"/>
              <w:jc w:val="both"/>
              <w:rPr>
                <w:sz w:val="22"/>
              </w:rPr>
            </w:pPr>
            <w:r w:rsidRPr="61EC34E6">
              <w:rPr>
                <w:sz w:val="22"/>
              </w:rPr>
              <w:t>Skaidrojam, ka kritērijs Nr.4.3.3.</w:t>
            </w:r>
            <w:r w:rsidR="000D0EF3">
              <w:rPr>
                <w:sz w:val="22"/>
              </w:rPr>
              <w:t xml:space="preserve"> </w:t>
            </w:r>
            <w:r w:rsidRPr="61EC34E6">
              <w:rPr>
                <w:sz w:val="22"/>
              </w:rPr>
              <w:t xml:space="preserve">nav attiecināms uz ieguldījumiem aprīkojumā vai infrastruktūrā, bet gan paredz piešķirt </w:t>
            </w:r>
            <w:proofErr w:type="gramStart"/>
            <w:r w:rsidRPr="61EC34E6">
              <w:rPr>
                <w:sz w:val="22"/>
              </w:rPr>
              <w:t>papildu</w:t>
            </w:r>
            <w:r w:rsidR="2CEEE4CF" w:rsidRPr="61EC34E6">
              <w:rPr>
                <w:sz w:val="22"/>
              </w:rPr>
              <w:t>s punktus</w:t>
            </w:r>
            <w:proofErr w:type="gramEnd"/>
            <w:r w:rsidR="2CEEE4CF" w:rsidRPr="61EC34E6">
              <w:rPr>
                <w:sz w:val="22"/>
              </w:rPr>
              <w:t>, ja projekta iesniedzējs spēj nodrošināt</w:t>
            </w:r>
            <w:r w:rsidR="7A15F87F" w:rsidRPr="61EC34E6">
              <w:rPr>
                <w:sz w:val="22"/>
              </w:rPr>
              <w:t xml:space="preserve"> pakalpojuma ilgtspēju vismaz 3 gadus pēc projekta pabeigšanas. Skaidrojam, ka kritērijs nav izslēdzošs</w:t>
            </w:r>
            <w:r w:rsidR="007C8EE4" w:rsidRPr="61EC34E6">
              <w:rPr>
                <w:sz w:val="22"/>
              </w:rPr>
              <w:t>, bet paredz tikai papildus punktus, ja, piemēram, kultūras organizācija paredz piesaistīt citu finansējumu, lai nodrošinātu pakalpojuma ilgtspēju.</w:t>
            </w:r>
          </w:p>
          <w:p w14:paraId="3D63502E" w14:textId="09EE133F" w:rsidR="00840E7D" w:rsidRPr="000054D9" w:rsidRDefault="00840E7D" w:rsidP="61EC34E6">
            <w:pPr>
              <w:pStyle w:val="Standard"/>
              <w:jc w:val="both"/>
              <w:rPr>
                <w:sz w:val="22"/>
              </w:rPr>
            </w:pPr>
          </w:p>
          <w:p w14:paraId="4B6F1AB6" w14:textId="1C9C63C4" w:rsidR="00840E7D" w:rsidRDefault="684146D7" w:rsidP="61EC34E6">
            <w:pPr>
              <w:pStyle w:val="Standard"/>
              <w:jc w:val="both"/>
              <w:rPr>
                <w:sz w:val="22"/>
              </w:rPr>
            </w:pPr>
            <w:r w:rsidRPr="61EC34E6">
              <w:rPr>
                <w:sz w:val="22"/>
              </w:rPr>
              <w:t xml:space="preserve">Papildināts 4.3.2.SAM I kārtas, kuras ietvaros paredzēti infrastruktūras </w:t>
            </w:r>
            <w:r w:rsidRPr="61EC34E6">
              <w:rPr>
                <w:sz w:val="22"/>
              </w:rPr>
              <w:lastRenderedPageBreak/>
              <w:t>darbi, vērtēšanas kritēriju kopa ar 2.4.kritēriju, kas paredz vērtēt projekta ilgtspēju.</w:t>
            </w:r>
          </w:p>
          <w:p w14:paraId="36AC1A2A" w14:textId="03748D6F" w:rsidR="000D0EF3" w:rsidRDefault="000D0EF3" w:rsidP="61EC34E6">
            <w:pPr>
              <w:pStyle w:val="Standard"/>
              <w:jc w:val="both"/>
              <w:rPr>
                <w:sz w:val="22"/>
              </w:rPr>
            </w:pPr>
          </w:p>
          <w:p w14:paraId="10715FDC" w14:textId="6F034603" w:rsidR="00840E7D" w:rsidRPr="000D0EF3" w:rsidRDefault="000D0EF3" w:rsidP="61EC34E6">
            <w:pPr>
              <w:pStyle w:val="Standard"/>
              <w:jc w:val="both"/>
              <w:rPr>
                <w:sz w:val="22"/>
              </w:rPr>
            </w:pPr>
            <w:r w:rsidRPr="009956D7">
              <w:rPr>
                <w:rFonts w:cs="Times New Roman"/>
                <w:sz w:val="22"/>
              </w:rPr>
              <w:t>Vienlaikus skaidrojam, ka</w:t>
            </w:r>
            <w:r w:rsidR="009956D7" w:rsidRPr="009956D7">
              <w:rPr>
                <w:rFonts w:cs="Times New Roman"/>
                <w:sz w:val="22"/>
              </w:rPr>
              <w:t xml:space="preserve"> atbilstoši </w:t>
            </w:r>
            <w:r w:rsidR="009956D7" w:rsidRPr="009956D7">
              <w:rPr>
                <w:rFonts w:cs="Times New Roman"/>
                <w:sz w:val="22"/>
              </w:rPr>
              <w:t>Eiropas Savienības kohēzijas politikas programm</w:t>
            </w:r>
            <w:r w:rsidR="009956D7" w:rsidRPr="009956D7">
              <w:rPr>
                <w:rFonts w:cs="Times New Roman"/>
                <w:sz w:val="22"/>
              </w:rPr>
              <w:t>as</w:t>
            </w:r>
            <w:r w:rsidR="009956D7" w:rsidRPr="009956D7">
              <w:rPr>
                <w:rFonts w:cs="Times New Roman"/>
                <w:sz w:val="22"/>
              </w:rPr>
              <w:t xml:space="preserve"> 2021.</w:t>
            </w:r>
            <w:r w:rsidR="009956D7">
              <w:rPr>
                <w:rFonts w:cs="Times New Roman"/>
                <w:sz w:val="22"/>
              </w:rPr>
              <w:t>-</w:t>
            </w:r>
            <w:r w:rsidR="009956D7" w:rsidRPr="009956D7">
              <w:rPr>
                <w:rFonts w:cs="Times New Roman"/>
                <w:sz w:val="22"/>
              </w:rPr>
              <w:t>2027.gadam</w:t>
            </w:r>
            <w:r w:rsidR="009956D7" w:rsidRPr="009956D7">
              <w:rPr>
                <w:rFonts w:cs="Times New Roman"/>
                <w:sz w:val="22"/>
              </w:rPr>
              <w:t xml:space="preserve"> p</w:t>
            </w:r>
            <w:r w:rsidR="009956D7">
              <w:rPr>
                <w:rFonts w:cs="Times New Roman"/>
                <w:sz w:val="22"/>
              </w:rPr>
              <w:t>apildinājumam</w:t>
            </w:r>
            <w:r w:rsidR="009956D7" w:rsidRPr="009956D7">
              <w:rPr>
                <w:rFonts w:cs="Times New Roman"/>
                <w:sz w:val="22"/>
              </w:rPr>
              <w:t>,</w:t>
            </w:r>
            <w:r w:rsidR="008F7D6C" w:rsidRPr="009956D7">
              <w:rPr>
                <w:rFonts w:cs="Times New Roman"/>
                <w:sz w:val="22"/>
              </w:rPr>
              <w:t xml:space="preserve"> </w:t>
            </w:r>
            <w:r w:rsidRPr="009956D7">
              <w:rPr>
                <w:rFonts w:cs="Times New Roman"/>
                <w:sz w:val="22"/>
              </w:rPr>
              <w:t>4.3.2.SAM nav ietekmes</w:t>
            </w:r>
            <w:r w:rsidRPr="009956D7">
              <w:rPr>
                <w:sz w:val="22"/>
              </w:rPr>
              <w:t xml:space="preserve"> uz horizontālo principu “</w:t>
            </w:r>
            <w:proofErr w:type="spellStart"/>
            <w:r w:rsidRPr="009956D7">
              <w:rPr>
                <w:sz w:val="22"/>
              </w:rPr>
              <w:t>Klimatdrošināšana</w:t>
            </w:r>
            <w:proofErr w:type="spellEnd"/>
            <w:r w:rsidRPr="009956D7">
              <w:rPr>
                <w:sz w:val="22"/>
              </w:rPr>
              <w:t>”, “Energoefektivitāte</w:t>
            </w:r>
            <w:r>
              <w:t xml:space="preserve"> pirmajā vietā” un “Nenodarīt būtisku kaitējumu” īstenošanu.</w:t>
            </w:r>
          </w:p>
        </w:tc>
        <w:tc>
          <w:tcPr>
            <w:tcW w:w="2790" w:type="dxa"/>
          </w:tcPr>
          <w:p w14:paraId="68773EBB" w14:textId="77777777" w:rsidR="00840E7D" w:rsidRPr="000054D9" w:rsidRDefault="00840E7D" w:rsidP="00340749">
            <w:pPr>
              <w:pStyle w:val="Standard"/>
              <w:jc w:val="both"/>
              <w:rPr>
                <w:sz w:val="22"/>
              </w:rPr>
            </w:pPr>
          </w:p>
        </w:tc>
      </w:tr>
      <w:tr w:rsidR="00340749" w:rsidRPr="000054D9" w14:paraId="51DDA491" w14:textId="77777777" w:rsidTr="61EC34E6">
        <w:tc>
          <w:tcPr>
            <w:tcW w:w="562" w:type="dxa"/>
          </w:tcPr>
          <w:p w14:paraId="380A3C32" w14:textId="77777777" w:rsidR="00340749" w:rsidRPr="000054D9" w:rsidRDefault="00340749" w:rsidP="00A57181">
            <w:pPr>
              <w:pStyle w:val="Standard"/>
              <w:numPr>
                <w:ilvl w:val="0"/>
                <w:numId w:val="16"/>
              </w:numPr>
              <w:ind w:hanging="1049"/>
              <w:jc w:val="center"/>
              <w:rPr>
                <w:rFonts w:cs="Times New Roman"/>
                <w:b/>
                <w:bCs/>
                <w:sz w:val="22"/>
              </w:rPr>
            </w:pPr>
          </w:p>
        </w:tc>
        <w:tc>
          <w:tcPr>
            <w:tcW w:w="2694" w:type="dxa"/>
          </w:tcPr>
          <w:p w14:paraId="7BB41D55" w14:textId="7E81A875" w:rsidR="00340749" w:rsidRPr="000054D9" w:rsidRDefault="00F5137A" w:rsidP="00340749">
            <w:pPr>
              <w:pStyle w:val="Standard"/>
              <w:jc w:val="both"/>
              <w:rPr>
                <w:rFonts w:cs="Times New Roman"/>
                <w:b/>
                <w:bCs/>
                <w:sz w:val="22"/>
              </w:rPr>
            </w:pPr>
            <w:r>
              <w:rPr>
                <w:rFonts w:cs="Times New Roman"/>
                <w:b/>
                <w:bCs/>
                <w:sz w:val="22"/>
              </w:rPr>
              <w:t>Kritērijs Nr. 4.5.</w:t>
            </w:r>
          </w:p>
        </w:tc>
        <w:tc>
          <w:tcPr>
            <w:tcW w:w="5112" w:type="dxa"/>
          </w:tcPr>
          <w:p w14:paraId="47625001" w14:textId="77777777" w:rsidR="00F5137A" w:rsidRPr="00F5137A" w:rsidRDefault="00F5137A" w:rsidP="00F5137A">
            <w:pPr>
              <w:pStyle w:val="Standard"/>
              <w:jc w:val="both"/>
              <w:rPr>
                <w:rFonts w:cs="Times New Roman"/>
                <w:b/>
                <w:bCs/>
                <w:sz w:val="22"/>
              </w:rPr>
            </w:pPr>
            <w:r w:rsidRPr="00F5137A">
              <w:rPr>
                <w:rFonts w:cs="Times New Roman"/>
                <w:b/>
                <w:bCs/>
                <w:sz w:val="22"/>
              </w:rPr>
              <w:t>Rīgas metropole</w:t>
            </w:r>
          </w:p>
          <w:p w14:paraId="674014F1" w14:textId="77777777" w:rsidR="00340749" w:rsidRDefault="00340749" w:rsidP="00340749">
            <w:pPr>
              <w:pStyle w:val="Standard"/>
              <w:jc w:val="both"/>
              <w:rPr>
                <w:rFonts w:cs="Times New Roman"/>
                <w:sz w:val="22"/>
              </w:rPr>
            </w:pPr>
          </w:p>
          <w:p w14:paraId="47D6378C" w14:textId="75804ECF" w:rsidR="00F5137A" w:rsidRPr="000054D9" w:rsidRDefault="00F5137A" w:rsidP="2F7B211B">
            <w:pPr>
              <w:pStyle w:val="Standard"/>
              <w:jc w:val="both"/>
              <w:rPr>
                <w:rFonts w:cs="Times New Roman"/>
                <w:sz w:val="22"/>
              </w:rPr>
            </w:pPr>
            <w:r w:rsidRPr="2F7B211B">
              <w:rPr>
                <w:rFonts w:cs="Times New Roman"/>
                <w:sz w:val="22"/>
              </w:rPr>
              <w:t>Lai novērstu interpretācijas iespējas un nodrošinātu vienotu izpratni, lūdzam detalizētāk skaidrot, kādu informāciju nepieciešams sniegt, lai izpildītu izvirzīto skaidrojumu atbilstības noteikšanai “s</w:t>
            </w:r>
            <w:r w:rsidRPr="2F7B211B">
              <w:rPr>
                <w:rFonts w:cs="Times New Roman"/>
                <w:b/>
                <w:bCs/>
                <w:sz w:val="22"/>
              </w:rPr>
              <w:t xml:space="preserve">kaidri aprakstīta projekta </w:t>
            </w:r>
            <w:proofErr w:type="spellStart"/>
            <w:r w:rsidRPr="2F7B211B">
              <w:rPr>
                <w:rFonts w:cs="Times New Roman"/>
                <w:b/>
                <w:bCs/>
                <w:sz w:val="22"/>
              </w:rPr>
              <w:t>starpdisciplinaritāte</w:t>
            </w:r>
            <w:proofErr w:type="spellEnd"/>
            <w:r w:rsidRPr="2F7B211B">
              <w:rPr>
                <w:rFonts w:cs="Times New Roman"/>
                <w:b/>
                <w:bCs/>
                <w:sz w:val="22"/>
              </w:rPr>
              <w:t xml:space="preserve"> un projektā iesaistīti partneri vai eksperti</w:t>
            </w:r>
            <w:r w:rsidRPr="2F7B211B">
              <w:rPr>
                <w:rFonts w:cs="Times New Roman"/>
                <w:sz w:val="22"/>
              </w:rPr>
              <w:t>”.</w:t>
            </w:r>
          </w:p>
        </w:tc>
        <w:tc>
          <w:tcPr>
            <w:tcW w:w="2790" w:type="dxa"/>
          </w:tcPr>
          <w:p w14:paraId="001DBE78" w14:textId="45D40077" w:rsidR="00340749" w:rsidRPr="000054D9" w:rsidRDefault="6866615B" w:rsidP="61EC34E6">
            <w:pPr>
              <w:pStyle w:val="Standard"/>
              <w:jc w:val="both"/>
              <w:rPr>
                <w:rFonts w:cs="Times New Roman"/>
                <w:b/>
                <w:bCs/>
                <w:sz w:val="22"/>
              </w:rPr>
            </w:pPr>
            <w:r w:rsidRPr="61EC34E6">
              <w:rPr>
                <w:rFonts w:cs="Times New Roman"/>
                <w:b/>
                <w:bCs/>
                <w:sz w:val="22"/>
              </w:rPr>
              <w:t>Ņemts vērā.</w:t>
            </w:r>
          </w:p>
        </w:tc>
        <w:tc>
          <w:tcPr>
            <w:tcW w:w="2790" w:type="dxa"/>
          </w:tcPr>
          <w:p w14:paraId="1020B573" w14:textId="34B545F6" w:rsidR="00340749" w:rsidRPr="000054D9" w:rsidRDefault="6866615B" w:rsidP="00CE55D4">
            <w:pPr>
              <w:jc w:val="both"/>
              <w:rPr>
                <w:rFonts w:cs="Times New Roman"/>
                <w:sz w:val="22"/>
              </w:rPr>
            </w:pPr>
            <w:r w:rsidRPr="00CE55D4">
              <w:rPr>
                <w:rStyle w:val="normaltextrun"/>
                <w:rFonts w:ascii="Times New Roman" w:eastAsia="Times New Roman" w:hAnsi="Times New Roman" w:cs="Times New Roman"/>
                <w:b/>
                <w:bCs/>
                <w:color w:val="000000" w:themeColor="text1"/>
              </w:rPr>
              <w:t>4.5.1. </w:t>
            </w:r>
            <w:proofErr w:type="spellStart"/>
            <w:r w:rsidRPr="00CE55D4">
              <w:rPr>
                <w:rStyle w:val="normaltextrun"/>
                <w:rFonts w:ascii="Times New Roman" w:eastAsia="Times New Roman" w:hAnsi="Times New Roman" w:cs="Times New Roman"/>
                <w:b/>
                <w:bCs/>
                <w:color w:val="000000" w:themeColor="text1"/>
              </w:rPr>
              <w:t>apakškritērijā</w:t>
            </w:r>
            <w:proofErr w:type="spellEnd"/>
            <w:r w:rsidRPr="00CE55D4">
              <w:rPr>
                <w:rStyle w:val="normaltextrun"/>
                <w:rFonts w:ascii="Times New Roman" w:eastAsia="Times New Roman" w:hAnsi="Times New Roman" w:cs="Times New Roman"/>
                <w:b/>
                <w:bCs/>
                <w:color w:val="000000" w:themeColor="text1"/>
              </w:rPr>
              <w:t xml:space="preserve"> saņem 2 punktus, </w:t>
            </w:r>
            <w:r w:rsidRPr="00CE55D4">
              <w:rPr>
                <w:rStyle w:val="normaltextrun"/>
                <w:rFonts w:ascii="Times New Roman" w:eastAsia="Times New Roman" w:hAnsi="Times New Roman" w:cs="Times New Roman"/>
                <w:color w:val="000000" w:themeColor="text1"/>
              </w:rPr>
              <w:t>ja</w:t>
            </w:r>
            <w:r w:rsidRPr="00CE55D4">
              <w:rPr>
                <w:rFonts w:eastAsia="Times New Roman" w:cs="Times New Roman"/>
                <w:color w:val="000000" w:themeColor="text1"/>
                <w:sz w:val="22"/>
              </w:rPr>
              <w:t xml:space="preserve"> projekta iesniegumā ir skaidri aprakstīta projekta </w:t>
            </w:r>
            <w:proofErr w:type="spellStart"/>
            <w:r w:rsidRPr="00CE55D4">
              <w:rPr>
                <w:rFonts w:eastAsiaTheme="minorEastAsia" w:cs="Times New Roman"/>
                <w:color w:val="000000" w:themeColor="text1"/>
                <w:sz w:val="22"/>
              </w:rPr>
              <w:t>starpdisciplinaritāte</w:t>
            </w:r>
            <w:proofErr w:type="spellEnd"/>
            <w:r w:rsidRPr="00CE55D4">
              <w:rPr>
                <w:rFonts w:eastAsiaTheme="minorEastAsia" w:cs="Times New Roman"/>
                <w:color w:val="000000" w:themeColor="text1"/>
                <w:sz w:val="22"/>
              </w:rPr>
              <w:t xml:space="preserve">, </w:t>
            </w:r>
            <w:r w:rsidRPr="00CE55D4">
              <w:rPr>
                <w:rFonts w:eastAsiaTheme="minorEastAsia" w:cs="Times New Roman"/>
                <w:b/>
                <w:bCs/>
                <w:color w:val="000000" w:themeColor="text1"/>
                <w:sz w:val="22"/>
              </w:rPr>
              <w:t>piem., kultūras, veselības un sociālās jomas operatoru sadarbības veicināšanai</w:t>
            </w:r>
            <w:r w:rsidRPr="00CE55D4">
              <w:rPr>
                <w:rFonts w:eastAsiaTheme="minorEastAsia" w:cs="Times New Roman"/>
                <w:color w:val="000000" w:themeColor="text1"/>
                <w:sz w:val="22"/>
              </w:rPr>
              <w:t>, un projektā paredzēts iesaistīti partnerus vai ekspertus, kas pārstāv citas jomas.</w:t>
            </w:r>
          </w:p>
        </w:tc>
      </w:tr>
      <w:tr w:rsidR="00340749" w:rsidRPr="000054D9" w14:paraId="7D68D4D3" w14:textId="77777777" w:rsidTr="61EC34E6">
        <w:tc>
          <w:tcPr>
            <w:tcW w:w="13948" w:type="dxa"/>
            <w:gridSpan w:val="5"/>
            <w:shd w:val="clear" w:color="auto" w:fill="C5E0B3" w:themeFill="accent6" w:themeFillTint="66"/>
          </w:tcPr>
          <w:p w14:paraId="3FC1806E" w14:textId="3935BC99" w:rsidR="00340749" w:rsidRPr="000054D9" w:rsidRDefault="00340749" w:rsidP="00340749">
            <w:pPr>
              <w:pStyle w:val="Standard"/>
              <w:jc w:val="both"/>
              <w:rPr>
                <w:rFonts w:cs="Times New Roman"/>
                <w:b/>
                <w:bCs/>
                <w:sz w:val="22"/>
              </w:rPr>
            </w:pPr>
            <w:r w:rsidRPr="000054D9">
              <w:rPr>
                <w:rFonts w:cs="Times New Roman"/>
                <w:b/>
                <w:bCs/>
                <w:sz w:val="22"/>
              </w:rPr>
              <w:t>Par kritēriju piemērošanas metodiku</w:t>
            </w:r>
          </w:p>
        </w:tc>
      </w:tr>
      <w:tr w:rsidR="00840E7D" w:rsidRPr="000054D9" w14:paraId="58C0DD38" w14:textId="77777777" w:rsidTr="61EC34E6">
        <w:tc>
          <w:tcPr>
            <w:tcW w:w="562" w:type="dxa"/>
          </w:tcPr>
          <w:p w14:paraId="4874B03F" w14:textId="77777777" w:rsidR="00840E7D" w:rsidRPr="000054D9" w:rsidRDefault="00840E7D" w:rsidP="00A57181">
            <w:pPr>
              <w:pStyle w:val="Standard"/>
              <w:numPr>
                <w:ilvl w:val="0"/>
                <w:numId w:val="16"/>
              </w:numPr>
              <w:ind w:hanging="1049"/>
              <w:jc w:val="center"/>
              <w:rPr>
                <w:b/>
                <w:bCs/>
                <w:sz w:val="22"/>
              </w:rPr>
            </w:pPr>
          </w:p>
        </w:tc>
        <w:tc>
          <w:tcPr>
            <w:tcW w:w="2694" w:type="dxa"/>
          </w:tcPr>
          <w:p w14:paraId="3F9A3256" w14:textId="6F3FD3C3" w:rsidR="00840E7D" w:rsidRDefault="00840E7D" w:rsidP="00340749">
            <w:pPr>
              <w:pStyle w:val="Standard"/>
              <w:jc w:val="both"/>
              <w:rPr>
                <w:b/>
                <w:bCs/>
                <w:sz w:val="22"/>
              </w:rPr>
            </w:pPr>
            <w:r>
              <w:rPr>
                <w:rFonts w:cs="Times New Roman"/>
                <w:b/>
                <w:bCs/>
                <w:sz w:val="22"/>
              </w:rPr>
              <w:t>Vispārīgi</w:t>
            </w:r>
          </w:p>
        </w:tc>
        <w:tc>
          <w:tcPr>
            <w:tcW w:w="5112" w:type="dxa"/>
          </w:tcPr>
          <w:p w14:paraId="6D88F1B0" w14:textId="65BC6DE2" w:rsidR="00840E7D" w:rsidRDefault="00840E7D" w:rsidP="00340749">
            <w:pPr>
              <w:pStyle w:val="Standard"/>
              <w:jc w:val="both"/>
              <w:rPr>
                <w:b/>
                <w:bCs/>
                <w:sz w:val="22"/>
              </w:rPr>
            </w:pPr>
            <w:r>
              <w:rPr>
                <w:b/>
                <w:bCs/>
                <w:sz w:val="22"/>
              </w:rPr>
              <w:t>Finanšu ministrija</w:t>
            </w:r>
            <w:r w:rsidR="002C5DC5">
              <w:rPr>
                <w:b/>
                <w:bCs/>
                <w:sz w:val="22"/>
              </w:rPr>
              <w:t xml:space="preserve"> (SD)</w:t>
            </w:r>
          </w:p>
          <w:p w14:paraId="3AF49CC4" w14:textId="77777777" w:rsidR="002C5DC5" w:rsidRDefault="002C5DC5" w:rsidP="00340749">
            <w:pPr>
              <w:pStyle w:val="Standard"/>
              <w:jc w:val="both"/>
              <w:rPr>
                <w:b/>
                <w:bCs/>
                <w:sz w:val="22"/>
              </w:rPr>
            </w:pPr>
          </w:p>
          <w:p w14:paraId="70F6B031" w14:textId="0F75B029" w:rsidR="00840E7D" w:rsidRDefault="00840E7D" w:rsidP="2F7B211B">
            <w:pPr>
              <w:pStyle w:val="Standard"/>
              <w:jc w:val="both"/>
              <w:rPr>
                <w:sz w:val="22"/>
              </w:rPr>
            </w:pPr>
            <w:r w:rsidRPr="61EC34E6">
              <w:rPr>
                <w:sz w:val="22"/>
              </w:rPr>
              <w:t>Lūdzam papildināt kritēriju metodiku ar vienoto izvēles kritēriju, k</w:t>
            </w:r>
            <w:r w:rsidR="00144BC7" w:rsidRPr="61EC34E6">
              <w:rPr>
                <w:sz w:val="22"/>
              </w:rPr>
              <w:t>as</w:t>
            </w:r>
            <w:r w:rsidRPr="61EC34E6">
              <w:rPr>
                <w:sz w:val="22"/>
              </w:rPr>
              <w:t xml:space="preserve"> nosaka, ka projekta iesniegumā ir aprakstīta potenciālā </w:t>
            </w:r>
            <w:r w:rsidRPr="61EC34E6">
              <w:rPr>
                <w:b/>
                <w:bCs/>
                <w:sz w:val="22"/>
              </w:rPr>
              <w:t>projekta ietekme</w:t>
            </w:r>
            <w:r w:rsidRPr="61EC34E6">
              <w:rPr>
                <w:sz w:val="22"/>
              </w:rPr>
              <w:t xml:space="preserve"> </w:t>
            </w:r>
            <w:r w:rsidRPr="61EC34E6">
              <w:rPr>
                <w:b/>
                <w:bCs/>
                <w:sz w:val="22"/>
              </w:rPr>
              <w:t>uz projekta iesniedzēja, sadarbības partnera (</w:t>
            </w:r>
            <w:proofErr w:type="gramStart"/>
            <w:r w:rsidRPr="61EC34E6">
              <w:rPr>
                <w:b/>
                <w:bCs/>
                <w:sz w:val="22"/>
              </w:rPr>
              <w:t>ja attiecināms</w:t>
            </w:r>
            <w:proofErr w:type="gramEnd"/>
            <w:r w:rsidRPr="61EC34E6">
              <w:rPr>
                <w:b/>
                <w:bCs/>
                <w:sz w:val="22"/>
              </w:rPr>
              <w:t xml:space="preserve">) un gala labuma guvēja (ja </w:t>
            </w:r>
            <w:r w:rsidRPr="61EC34E6">
              <w:rPr>
                <w:b/>
                <w:bCs/>
                <w:sz w:val="22"/>
              </w:rPr>
              <w:lastRenderedPageBreak/>
              <w:t>attiecināms) darbību</w:t>
            </w:r>
            <w:r w:rsidRPr="61EC34E6">
              <w:rPr>
                <w:sz w:val="22"/>
              </w:rPr>
              <w:t xml:space="preserve">, kā arī projekta iesniegumā ir iekļauti </w:t>
            </w:r>
            <w:r w:rsidRPr="61EC34E6">
              <w:rPr>
                <w:b/>
                <w:bCs/>
                <w:sz w:val="22"/>
              </w:rPr>
              <w:t>nosacījumi attiecībā uz ilgtspējības nodrošināšanu</w:t>
            </w:r>
            <w:r w:rsidRPr="61EC34E6">
              <w:rPr>
                <w:sz w:val="22"/>
              </w:rPr>
              <w:t>.</w:t>
            </w:r>
            <w:r w:rsidR="00C61429" w:rsidRPr="61EC34E6">
              <w:rPr>
                <w:sz w:val="22"/>
              </w:rPr>
              <w:t xml:space="preserve"> </w:t>
            </w:r>
          </w:p>
          <w:p w14:paraId="229A35B6" w14:textId="0CEF37F9" w:rsidR="00C61429" w:rsidRDefault="00C61429" w:rsidP="00340749">
            <w:pPr>
              <w:pStyle w:val="Standard"/>
              <w:jc w:val="both"/>
              <w:rPr>
                <w:sz w:val="22"/>
              </w:rPr>
            </w:pPr>
            <w:r>
              <w:rPr>
                <w:sz w:val="22"/>
              </w:rPr>
              <w:t>Norādām, ka</w:t>
            </w:r>
            <w:r w:rsidRPr="00C61429">
              <w:rPr>
                <w:sz w:val="22"/>
              </w:rPr>
              <w:t xml:space="preserve"> pēc ES fondu ieguldījumu veikšanas</w:t>
            </w:r>
            <w:r>
              <w:rPr>
                <w:sz w:val="22"/>
              </w:rPr>
              <w:t xml:space="preserve"> (kultūras infrastruktūrā)</w:t>
            </w:r>
            <w:r w:rsidRPr="00C61429">
              <w:rPr>
                <w:sz w:val="22"/>
              </w:rPr>
              <w:t xml:space="preserve"> attiecīgais objekts nodrošinās pašpietiekamību un būs spējīgs nodrošināt funkcionēšanu bez papildu publiskā atbalsta saņemšanas, t.sk. nodrošināt tā darbību atbilstoši noteiktajām funkcijām, nodrošināt atbilstošu infrastruktūras uzturēšanu.</w:t>
            </w:r>
          </w:p>
          <w:p w14:paraId="2D6A0AAB" w14:textId="364D182A" w:rsidR="0031764B" w:rsidRDefault="0031764B" w:rsidP="00340749">
            <w:pPr>
              <w:pStyle w:val="Standard"/>
              <w:jc w:val="both"/>
              <w:rPr>
                <w:sz w:val="22"/>
              </w:rPr>
            </w:pPr>
            <w:r>
              <w:rPr>
                <w:sz w:val="22"/>
              </w:rPr>
              <w:t>Attiecīgi aicinām pārskatīt</w:t>
            </w:r>
            <w:proofErr w:type="gramStart"/>
            <w:r>
              <w:rPr>
                <w:sz w:val="22"/>
              </w:rPr>
              <w:t xml:space="preserve"> vai atstājams</w:t>
            </w:r>
            <w:proofErr w:type="gramEnd"/>
            <w:r>
              <w:rPr>
                <w:sz w:val="22"/>
              </w:rPr>
              <w:t xml:space="preserve"> 4.3.2. kvalitātes kritērijs.</w:t>
            </w:r>
          </w:p>
          <w:p w14:paraId="1989D1BB" w14:textId="2514E641" w:rsidR="00840E7D" w:rsidRPr="00840E7D" w:rsidRDefault="00840E7D" w:rsidP="00340749">
            <w:pPr>
              <w:pStyle w:val="Standard"/>
              <w:jc w:val="both"/>
              <w:rPr>
                <w:sz w:val="22"/>
              </w:rPr>
            </w:pPr>
          </w:p>
        </w:tc>
        <w:tc>
          <w:tcPr>
            <w:tcW w:w="2790" w:type="dxa"/>
          </w:tcPr>
          <w:p w14:paraId="4D9B20C8" w14:textId="7E039F40" w:rsidR="00840E7D" w:rsidRPr="000054D9" w:rsidRDefault="5AE4808D" w:rsidP="61EC34E6">
            <w:pPr>
              <w:pStyle w:val="Standard"/>
              <w:jc w:val="both"/>
              <w:rPr>
                <w:b/>
                <w:bCs/>
                <w:sz w:val="22"/>
              </w:rPr>
            </w:pPr>
            <w:r w:rsidRPr="61EC34E6">
              <w:rPr>
                <w:b/>
                <w:bCs/>
                <w:sz w:val="22"/>
              </w:rPr>
              <w:lastRenderedPageBreak/>
              <w:t xml:space="preserve">Ņemts vērā </w:t>
            </w:r>
          </w:p>
          <w:p w14:paraId="706F8918" w14:textId="0C75E6A4" w:rsidR="00840E7D" w:rsidRPr="000054D9" w:rsidRDefault="00840E7D" w:rsidP="61EC34E6">
            <w:pPr>
              <w:pStyle w:val="Standard"/>
              <w:jc w:val="both"/>
              <w:rPr>
                <w:sz w:val="22"/>
              </w:rPr>
            </w:pPr>
          </w:p>
          <w:p w14:paraId="573FA728" w14:textId="2545E56D" w:rsidR="00840E7D" w:rsidRPr="000054D9" w:rsidRDefault="5AE4808D" w:rsidP="61EC34E6">
            <w:pPr>
              <w:pStyle w:val="Standard"/>
              <w:jc w:val="both"/>
              <w:rPr>
                <w:sz w:val="22"/>
              </w:rPr>
            </w:pPr>
            <w:r w:rsidRPr="61EC34E6">
              <w:rPr>
                <w:sz w:val="22"/>
              </w:rPr>
              <w:t>Papildināts 4.3.2.SAM I kārtas, kur</w:t>
            </w:r>
            <w:r w:rsidR="2C81823B" w:rsidRPr="61EC34E6">
              <w:rPr>
                <w:sz w:val="22"/>
              </w:rPr>
              <w:t>as ietvaros paredzēti infrastruktūras darbi, vērtēšanas kritēriju ko</w:t>
            </w:r>
            <w:r w:rsidR="00126F2A">
              <w:rPr>
                <w:sz w:val="22"/>
              </w:rPr>
              <w:t>mplekts</w:t>
            </w:r>
            <w:r w:rsidR="2C81823B" w:rsidRPr="61EC34E6">
              <w:rPr>
                <w:sz w:val="22"/>
              </w:rPr>
              <w:t xml:space="preserve"> ar 2.4.kritēriju.</w:t>
            </w:r>
          </w:p>
        </w:tc>
        <w:tc>
          <w:tcPr>
            <w:tcW w:w="2790" w:type="dxa"/>
          </w:tcPr>
          <w:p w14:paraId="3FFC9A86" w14:textId="2949C0A4" w:rsidR="00840E7D" w:rsidRPr="00CE55D4" w:rsidRDefault="2C81823B" w:rsidP="61EC34E6">
            <w:pPr>
              <w:pStyle w:val="Standard"/>
              <w:jc w:val="both"/>
              <w:rPr>
                <w:sz w:val="22"/>
              </w:rPr>
            </w:pPr>
            <w:r w:rsidRPr="00CE55D4">
              <w:rPr>
                <w:rFonts w:eastAsia="Times New Roman" w:cs="Times New Roman"/>
                <w:color w:val="000000" w:themeColor="text1"/>
                <w:sz w:val="22"/>
              </w:rPr>
              <w:t>2.4.</w:t>
            </w:r>
            <w:r w:rsidR="00CE55D4">
              <w:rPr>
                <w:rFonts w:eastAsia="Times New Roman" w:cs="Times New Roman"/>
                <w:color w:val="000000" w:themeColor="text1"/>
                <w:sz w:val="22"/>
              </w:rPr>
              <w:t> </w:t>
            </w:r>
            <w:r w:rsidRPr="00CE55D4">
              <w:rPr>
                <w:rFonts w:eastAsia="Times New Roman" w:cs="Times New Roman"/>
                <w:color w:val="000000" w:themeColor="text1"/>
                <w:sz w:val="22"/>
              </w:rPr>
              <w:t xml:space="preserve">Projekta iesniegumā ir aprakstīta potenciālā projekta ietekme uz projekta iesniedzēja un sadarbības partnera (ja attiecināms) darbību, kā arī projekta iesniegumā ir iekļauti </w:t>
            </w:r>
            <w:r w:rsidRPr="00CE55D4">
              <w:rPr>
                <w:rFonts w:eastAsia="Times New Roman" w:cs="Times New Roman"/>
                <w:color w:val="000000" w:themeColor="text1"/>
                <w:sz w:val="22"/>
              </w:rPr>
              <w:lastRenderedPageBreak/>
              <w:t>nosacījumi attiecībā uz ilgtspējības nodrošināšanu, kas demonstrē projekta iesniedzēja spēju</w:t>
            </w:r>
            <w:proofErr w:type="gramStart"/>
            <w:r w:rsidRPr="00CE55D4">
              <w:rPr>
                <w:rFonts w:eastAsia="Times New Roman" w:cs="Times New Roman"/>
                <w:color w:val="000000" w:themeColor="text1"/>
                <w:sz w:val="22"/>
              </w:rPr>
              <w:t xml:space="preserve">  </w:t>
            </w:r>
            <w:proofErr w:type="gramEnd"/>
            <w:r w:rsidRPr="00CE55D4">
              <w:rPr>
                <w:rFonts w:eastAsia="Times New Roman" w:cs="Times New Roman"/>
                <w:color w:val="000000" w:themeColor="text1"/>
                <w:sz w:val="22"/>
              </w:rPr>
              <w:t>nodrošināt objekta uzturēšana pēc projekta īstenošanas pabeigšanas</w:t>
            </w:r>
          </w:p>
        </w:tc>
      </w:tr>
      <w:tr w:rsidR="008A1B18" w:rsidRPr="000054D9" w14:paraId="4EC53970" w14:textId="77777777" w:rsidTr="61EC34E6">
        <w:tc>
          <w:tcPr>
            <w:tcW w:w="562" w:type="dxa"/>
          </w:tcPr>
          <w:p w14:paraId="3798E32D" w14:textId="77777777" w:rsidR="008A1B18" w:rsidRPr="000054D9" w:rsidRDefault="008A1B18" w:rsidP="00A57181">
            <w:pPr>
              <w:pStyle w:val="Standard"/>
              <w:numPr>
                <w:ilvl w:val="0"/>
                <w:numId w:val="16"/>
              </w:numPr>
              <w:ind w:hanging="1049"/>
              <w:jc w:val="center"/>
              <w:rPr>
                <w:b/>
                <w:bCs/>
                <w:sz w:val="22"/>
              </w:rPr>
            </w:pPr>
          </w:p>
        </w:tc>
        <w:tc>
          <w:tcPr>
            <w:tcW w:w="2694" w:type="dxa"/>
          </w:tcPr>
          <w:p w14:paraId="7F50055E" w14:textId="0D563A60" w:rsidR="008A1B18" w:rsidRDefault="008A1B18" w:rsidP="00340749">
            <w:pPr>
              <w:pStyle w:val="Standard"/>
              <w:jc w:val="both"/>
              <w:rPr>
                <w:b/>
                <w:bCs/>
                <w:sz w:val="22"/>
              </w:rPr>
            </w:pPr>
            <w:r>
              <w:rPr>
                <w:rFonts w:cs="Times New Roman"/>
                <w:b/>
                <w:bCs/>
                <w:sz w:val="22"/>
              </w:rPr>
              <w:t>Vispārīgi</w:t>
            </w:r>
          </w:p>
        </w:tc>
        <w:tc>
          <w:tcPr>
            <w:tcW w:w="5112" w:type="dxa"/>
          </w:tcPr>
          <w:p w14:paraId="78239C9B" w14:textId="7D917670" w:rsidR="008A1B18" w:rsidRDefault="008A1B18" w:rsidP="00340749">
            <w:pPr>
              <w:pStyle w:val="Standard"/>
              <w:jc w:val="both"/>
              <w:rPr>
                <w:b/>
                <w:bCs/>
                <w:sz w:val="22"/>
              </w:rPr>
            </w:pPr>
            <w:r>
              <w:rPr>
                <w:b/>
                <w:bCs/>
                <w:sz w:val="22"/>
              </w:rPr>
              <w:t>Finanšu ministrija</w:t>
            </w:r>
            <w:r w:rsidR="002C5DC5">
              <w:rPr>
                <w:b/>
                <w:bCs/>
                <w:sz w:val="22"/>
              </w:rPr>
              <w:t xml:space="preserve"> (SD)</w:t>
            </w:r>
          </w:p>
          <w:p w14:paraId="02C80C2A" w14:textId="77777777" w:rsidR="002C5DC5" w:rsidRDefault="002C5DC5" w:rsidP="00340749">
            <w:pPr>
              <w:pStyle w:val="Standard"/>
              <w:jc w:val="both"/>
              <w:rPr>
                <w:b/>
                <w:bCs/>
                <w:sz w:val="22"/>
              </w:rPr>
            </w:pPr>
          </w:p>
          <w:p w14:paraId="54BA4175" w14:textId="77777777" w:rsidR="008A1B18" w:rsidRPr="008A1B18" w:rsidRDefault="008A1B18" w:rsidP="008A1B18">
            <w:pPr>
              <w:pStyle w:val="Standard"/>
              <w:jc w:val="both"/>
              <w:rPr>
                <w:sz w:val="22"/>
              </w:rPr>
            </w:pPr>
            <w:r w:rsidRPr="008A1B18">
              <w:rPr>
                <w:sz w:val="22"/>
              </w:rPr>
              <w:t>Lūdzam papildināt kritēriju piemērošanas metodikas galveni ar vispārīgajiem nosacījumiem projekta iesnieguma vērtēšanas kritēriju piemērošanai.</w:t>
            </w:r>
          </w:p>
          <w:p w14:paraId="086DF827" w14:textId="77777777" w:rsidR="008A1B18" w:rsidRPr="008A1B18" w:rsidRDefault="008A1B18" w:rsidP="008A1B18">
            <w:pPr>
              <w:pStyle w:val="Standard"/>
              <w:jc w:val="both"/>
              <w:rPr>
                <w:sz w:val="22"/>
              </w:rPr>
            </w:pPr>
          </w:p>
          <w:p w14:paraId="7DD5B10D" w14:textId="77777777" w:rsidR="008A1B18" w:rsidRPr="008A1B18" w:rsidRDefault="008A1B18" w:rsidP="008A1B18">
            <w:pPr>
              <w:pStyle w:val="Standard"/>
              <w:jc w:val="both"/>
              <w:rPr>
                <w:sz w:val="22"/>
              </w:rPr>
            </w:pPr>
            <w:r w:rsidRPr="008A1B18">
              <w:rPr>
                <w:sz w:val="22"/>
              </w:rPr>
              <w:t>Piemēram:</w:t>
            </w:r>
          </w:p>
          <w:p w14:paraId="09F64B78" w14:textId="77777777" w:rsidR="008A1B18" w:rsidRPr="008A1B18" w:rsidRDefault="008A1B18" w:rsidP="008A1B18">
            <w:pPr>
              <w:pStyle w:val="Standard"/>
              <w:jc w:val="both"/>
              <w:rPr>
                <w:sz w:val="22"/>
              </w:rPr>
            </w:pPr>
            <w:r w:rsidRPr="008A1B18">
              <w:rPr>
                <w:sz w:val="22"/>
              </w:rPr>
              <w:t>"Vispārīgie nosacījumi projekta iesnieguma vērtēšanas kritēriju piemērošanai:</w:t>
            </w:r>
          </w:p>
          <w:p w14:paraId="48B9E4EE" w14:textId="77777777" w:rsidR="008A1B18" w:rsidRPr="008A1B18" w:rsidRDefault="008A1B18" w:rsidP="008A1B18">
            <w:pPr>
              <w:pStyle w:val="Standard"/>
              <w:jc w:val="both"/>
              <w:rPr>
                <w:sz w:val="22"/>
              </w:rPr>
            </w:pPr>
            <w:r w:rsidRPr="008A1B18">
              <w:rPr>
                <w:sz w:val="22"/>
              </w:rPr>
              <w:t>1.</w:t>
            </w:r>
            <w:r w:rsidRPr="008A1B18">
              <w:rPr>
                <w:sz w:val="22"/>
              </w:rPr>
              <w:tab/>
              <w:t>Lai novērtētu atbilstību attiecīgajam vērtēšanas kritērijam, vērtētājam ir jāņem vērā gan attiecīgajās projekta iesnieguma sadaļās sniegtā informācija, gan arī visa pārējā projekta iesniegumā (iesnieguma citās sadaļās un pielikumos) pieejamā informācija.</w:t>
            </w:r>
          </w:p>
          <w:p w14:paraId="1E9049FE" w14:textId="77777777" w:rsidR="008A1B18" w:rsidRPr="008A1B18" w:rsidRDefault="008A1B18" w:rsidP="008A1B18">
            <w:pPr>
              <w:pStyle w:val="Standard"/>
              <w:jc w:val="both"/>
              <w:rPr>
                <w:sz w:val="22"/>
              </w:rPr>
            </w:pPr>
            <w:r w:rsidRPr="008A1B18">
              <w:rPr>
                <w:sz w:val="22"/>
              </w:rPr>
              <w:t>2.</w:t>
            </w:r>
            <w:r w:rsidRPr="008A1B18">
              <w:rPr>
                <w:sz w:val="22"/>
              </w:rPr>
              <w:tab/>
              <w:t>Vērtējot projekta iesnieguma atbilstību kritērijiem, jāņem vērā tikai projekta iesniegumā (projekta iesniegumā un pielikumos) pieejamā informācija. Vērtējumu nevar balstīt uz pieņēmumiem vai citu informāciju, ko nav iespējams pārbaudīt</w:t>
            </w:r>
            <w:proofErr w:type="gramStart"/>
            <w:r w:rsidRPr="008A1B18">
              <w:rPr>
                <w:sz w:val="22"/>
              </w:rPr>
              <w:t xml:space="preserve"> vai pierādīt</w:t>
            </w:r>
            <w:proofErr w:type="gramEnd"/>
            <w:r w:rsidRPr="008A1B18">
              <w:rPr>
                <w:sz w:val="22"/>
              </w:rPr>
              <w:t xml:space="preserve">, vai kas neattiecas uz konkrēto projekta iesniegumu. Tomēr, ja vērtētāja rīcībā ir kāda informācija, kas var ietekmēt projekta vērtējumu, jānorāda konkrēti fakti un informācijas </w:t>
            </w:r>
            <w:r w:rsidRPr="008A1B18">
              <w:rPr>
                <w:sz w:val="22"/>
              </w:rPr>
              <w:lastRenderedPageBreak/>
              <w:t>avoti, kas pamato un pierāda vērtētāja sniegto informāciju.</w:t>
            </w:r>
            <w:r w:rsidRPr="008A1B18">
              <w:rPr>
                <w:sz w:val="22"/>
              </w:rPr>
              <w:tab/>
            </w:r>
          </w:p>
          <w:p w14:paraId="20734C59" w14:textId="77777777" w:rsidR="008A1B18" w:rsidRPr="008A1B18" w:rsidRDefault="008A1B18" w:rsidP="008A1B18">
            <w:pPr>
              <w:pStyle w:val="Standard"/>
              <w:jc w:val="both"/>
              <w:rPr>
                <w:sz w:val="22"/>
              </w:rPr>
            </w:pPr>
            <w:r w:rsidRPr="008A1B18">
              <w:rPr>
                <w:sz w:val="22"/>
              </w:rPr>
              <w:t>3.</w:t>
            </w:r>
            <w:r w:rsidRPr="008A1B18">
              <w:rPr>
                <w:sz w:val="22"/>
              </w:rPr>
              <w:tab/>
              <w:t xml:space="preserve">Vērtējot projektu iesniegumus, jāpievērš uzmanība projekta iesniegumā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0244B938" w14:textId="77777777" w:rsidR="008A1B18" w:rsidRPr="008A1B18" w:rsidRDefault="008A1B18" w:rsidP="008A1B18">
            <w:pPr>
              <w:pStyle w:val="Standard"/>
              <w:jc w:val="both"/>
              <w:rPr>
                <w:sz w:val="22"/>
              </w:rPr>
            </w:pPr>
            <w:r w:rsidRPr="008A1B18">
              <w:rPr>
                <w:sz w:val="22"/>
              </w:rPr>
              <w:t>4.</w:t>
            </w:r>
            <w:r w:rsidRPr="008A1B18">
              <w:rPr>
                <w:sz w:val="22"/>
              </w:rPr>
              <w:tab/>
              <w:t xml:space="preserve">Projektu iesniegumu vērtēšanā izmantojami: </w:t>
            </w:r>
          </w:p>
          <w:p w14:paraId="21824661" w14:textId="77777777" w:rsidR="008A1B18" w:rsidRPr="008A1B18" w:rsidRDefault="008A1B18" w:rsidP="008A1B18">
            <w:pPr>
              <w:pStyle w:val="Standard"/>
              <w:ind w:left="312"/>
              <w:jc w:val="both"/>
              <w:rPr>
                <w:sz w:val="22"/>
              </w:rPr>
            </w:pPr>
            <w:r w:rsidRPr="008A1B18">
              <w:rPr>
                <w:sz w:val="22"/>
              </w:rPr>
              <w:t>a.</w:t>
            </w:r>
            <w:r w:rsidRPr="008A1B18">
              <w:rPr>
                <w:sz w:val="22"/>
              </w:rPr>
              <w:tab/>
              <w:t>Ministru kabineta noteikumu projekts par Eiropas Savienības kohēzijas politikas programmas Latvijai 2021.–2027. gadam 4.3.2. specifiskā atbalsta mērķa “Kultūras un tūrisma lomas palielināšana ekonomiskajā attīstībā, sociālajā iekļaušanā un sociālajās inovācijās” ieviešanu (turpmāk – MK noteikumi);</w:t>
            </w:r>
          </w:p>
          <w:p w14:paraId="1DD2B116" w14:textId="77777777" w:rsidR="008A1B18" w:rsidRPr="008A1B18" w:rsidRDefault="008A1B18" w:rsidP="008A1B18">
            <w:pPr>
              <w:pStyle w:val="Standard"/>
              <w:ind w:left="312"/>
              <w:jc w:val="both"/>
              <w:rPr>
                <w:sz w:val="22"/>
              </w:rPr>
            </w:pPr>
            <w:r w:rsidRPr="008A1B18">
              <w:rPr>
                <w:sz w:val="22"/>
              </w:rPr>
              <w:t>b.</w:t>
            </w:r>
            <w:r w:rsidRPr="008A1B18">
              <w:rPr>
                <w:sz w:val="22"/>
              </w:rPr>
              <w:tab/>
              <w:t>Eiropas Savienības kohēzijas politikas programmas 2021.–</w:t>
            </w:r>
            <w:proofErr w:type="gramStart"/>
            <w:r w:rsidRPr="008A1B18">
              <w:rPr>
                <w:sz w:val="22"/>
              </w:rPr>
              <w:t>2027.gadam</w:t>
            </w:r>
            <w:proofErr w:type="gramEnd"/>
            <w:r w:rsidRPr="008A1B18">
              <w:rPr>
                <w:sz w:val="22"/>
              </w:rPr>
              <w:t xml:space="preserve"> papildinājums;</w:t>
            </w:r>
          </w:p>
          <w:p w14:paraId="36E06C2A" w14:textId="77777777" w:rsidR="008A1B18" w:rsidRPr="008A1B18" w:rsidRDefault="008A1B18" w:rsidP="008A1B18">
            <w:pPr>
              <w:pStyle w:val="Standard"/>
              <w:ind w:left="312"/>
              <w:jc w:val="both"/>
              <w:rPr>
                <w:sz w:val="22"/>
              </w:rPr>
            </w:pPr>
            <w:r w:rsidRPr="008A1B18">
              <w:rPr>
                <w:sz w:val="22"/>
              </w:rPr>
              <w:t>c.</w:t>
            </w:r>
            <w:r w:rsidRPr="008A1B18">
              <w:rPr>
                <w:sz w:val="22"/>
              </w:rPr>
              <w:tab/>
              <w:t>4.3.2. specifiskā atbalsta mērķa “Kultūras un tūrisma lomas palielināšana ekonomiskajā attīstībā, sociālajā iekļaušanā un sociālajās inovācijās” (turpmāk – SAM) projektu iesniegumu atlases nolikums, tai skaitā specifiskā atbalsta mērķa projektu iesniegumu vērtēšanas kritēriji un specifiskā atbalsta mērķa projekta iesnieguma aizpildīšanas metodika;</w:t>
            </w:r>
          </w:p>
          <w:p w14:paraId="236A43F9" w14:textId="3EBE79E1" w:rsidR="008A1B18" w:rsidRDefault="008A1B18" w:rsidP="008A1B18">
            <w:pPr>
              <w:pStyle w:val="Standard"/>
              <w:ind w:left="312"/>
              <w:jc w:val="both"/>
              <w:rPr>
                <w:sz w:val="22"/>
              </w:rPr>
            </w:pPr>
            <w:r w:rsidRPr="008A1B18">
              <w:rPr>
                <w:sz w:val="22"/>
              </w:rPr>
              <w:t>d.</w:t>
            </w:r>
            <w:r w:rsidRPr="008A1B18">
              <w:rPr>
                <w:sz w:val="22"/>
              </w:rPr>
              <w:tab/>
              <w:t>Finanšu ministrijas 2023. gada 26. janvāra metodika Nr.3.1 “Eiropas Reģionālās attīstības fonda, Eiropas Sociālā fonda plus, Kohēzijas fonda un Taisnīgas pārkārtošanās fonda projektu</w:t>
            </w:r>
            <w:proofErr w:type="gramStart"/>
            <w:r w:rsidRPr="008A1B18">
              <w:rPr>
                <w:sz w:val="22"/>
              </w:rPr>
              <w:t xml:space="preserve">  </w:t>
            </w:r>
            <w:proofErr w:type="gramEnd"/>
            <w:r w:rsidRPr="008A1B18">
              <w:rPr>
                <w:sz w:val="22"/>
              </w:rPr>
              <w:t>iesniegumu atlases metodika 2021.–2027.gadam”."</w:t>
            </w:r>
            <w:r>
              <w:rPr>
                <w:sz w:val="22"/>
              </w:rPr>
              <w:t>.</w:t>
            </w:r>
          </w:p>
          <w:p w14:paraId="3BEAE70D" w14:textId="5AA2528F" w:rsidR="008A1B18" w:rsidRPr="008A1B18" w:rsidRDefault="008A1B18" w:rsidP="008A1B18">
            <w:pPr>
              <w:pStyle w:val="Standard"/>
              <w:ind w:left="312"/>
              <w:jc w:val="both"/>
              <w:rPr>
                <w:sz w:val="22"/>
              </w:rPr>
            </w:pPr>
          </w:p>
        </w:tc>
        <w:tc>
          <w:tcPr>
            <w:tcW w:w="2790" w:type="dxa"/>
          </w:tcPr>
          <w:p w14:paraId="3DAEB9F6" w14:textId="3166DD62" w:rsidR="008A1B18" w:rsidRPr="000054D9" w:rsidRDefault="23A75306" w:rsidP="2F7B211B">
            <w:pPr>
              <w:pStyle w:val="Standard"/>
              <w:jc w:val="both"/>
              <w:rPr>
                <w:b/>
                <w:bCs/>
                <w:sz w:val="22"/>
              </w:rPr>
            </w:pPr>
            <w:r w:rsidRPr="2F7B211B">
              <w:rPr>
                <w:b/>
                <w:bCs/>
                <w:sz w:val="22"/>
              </w:rPr>
              <w:lastRenderedPageBreak/>
              <w:t>Ņemts vērā</w:t>
            </w:r>
          </w:p>
        </w:tc>
        <w:tc>
          <w:tcPr>
            <w:tcW w:w="2790" w:type="dxa"/>
          </w:tcPr>
          <w:p w14:paraId="7320DCD8" w14:textId="77777777" w:rsidR="008A1B18" w:rsidRPr="000054D9" w:rsidRDefault="008A1B18" w:rsidP="00340749">
            <w:pPr>
              <w:pStyle w:val="Standard"/>
              <w:jc w:val="both"/>
              <w:rPr>
                <w:sz w:val="22"/>
              </w:rPr>
            </w:pPr>
          </w:p>
        </w:tc>
      </w:tr>
      <w:tr w:rsidR="61EC34E6" w14:paraId="75873AC3" w14:textId="77777777" w:rsidTr="61EC34E6">
        <w:trPr>
          <w:trHeight w:val="300"/>
        </w:trPr>
        <w:tc>
          <w:tcPr>
            <w:tcW w:w="562" w:type="dxa"/>
          </w:tcPr>
          <w:p w14:paraId="7E6ED87D" w14:textId="56F16948" w:rsidR="61EC34E6" w:rsidRDefault="00126F2A" w:rsidP="00126F2A">
            <w:pPr>
              <w:pStyle w:val="Standard"/>
              <w:ind w:left="360"/>
              <w:jc w:val="center"/>
              <w:rPr>
                <w:b/>
                <w:bCs/>
                <w:sz w:val="22"/>
              </w:rPr>
            </w:pPr>
            <w:r>
              <w:rPr>
                <w:b/>
                <w:bCs/>
                <w:sz w:val="22"/>
              </w:rPr>
              <w:t>11.</w:t>
            </w:r>
          </w:p>
        </w:tc>
        <w:tc>
          <w:tcPr>
            <w:tcW w:w="2694" w:type="dxa"/>
          </w:tcPr>
          <w:p w14:paraId="3994C52B" w14:textId="79EE6D1A" w:rsidR="11ECA0C2" w:rsidRDefault="11ECA0C2" w:rsidP="61EC34E6">
            <w:pPr>
              <w:pStyle w:val="Standard"/>
              <w:jc w:val="both"/>
              <w:rPr>
                <w:b/>
                <w:bCs/>
                <w:sz w:val="22"/>
              </w:rPr>
            </w:pPr>
            <w:r w:rsidRPr="61EC34E6">
              <w:rPr>
                <w:b/>
                <w:bCs/>
                <w:sz w:val="22"/>
              </w:rPr>
              <w:t>Kritērijs Nr. 3.2.</w:t>
            </w:r>
          </w:p>
          <w:p w14:paraId="11FB4414" w14:textId="6737862E" w:rsidR="61EC34E6" w:rsidRDefault="61EC34E6" w:rsidP="61EC34E6">
            <w:pPr>
              <w:pStyle w:val="Standard"/>
              <w:jc w:val="both"/>
              <w:rPr>
                <w:rFonts w:cs="Times New Roman"/>
                <w:b/>
                <w:bCs/>
                <w:sz w:val="22"/>
              </w:rPr>
            </w:pPr>
          </w:p>
        </w:tc>
        <w:tc>
          <w:tcPr>
            <w:tcW w:w="5112" w:type="dxa"/>
          </w:tcPr>
          <w:p w14:paraId="142D10C7" w14:textId="313C5595" w:rsidR="11ECA0C2" w:rsidRDefault="11ECA0C2" w:rsidP="61EC34E6">
            <w:pPr>
              <w:pStyle w:val="Standard"/>
              <w:jc w:val="both"/>
              <w:rPr>
                <w:b/>
                <w:bCs/>
                <w:sz w:val="22"/>
              </w:rPr>
            </w:pPr>
            <w:r w:rsidRPr="61EC34E6">
              <w:rPr>
                <w:b/>
                <w:bCs/>
                <w:sz w:val="22"/>
              </w:rPr>
              <w:t>Finanšu ministrija (KAKD)</w:t>
            </w:r>
          </w:p>
          <w:p w14:paraId="6AACDCFC" w14:textId="77777777" w:rsidR="61EC34E6" w:rsidRDefault="61EC34E6" w:rsidP="61EC34E6">
            <w:pPr>
              <w:pStyle w:val="Standard"/>
              <w:jc w:val="both"/>
              <w:rPr>
                <w:b/>
                <w:bCs/>
                <w:sz w:val="22"/>
              </w:rPr>
            </w:pPr>
          </w:p>
          <w:p w14:paraId="79D00819" w14:textId="6435C46A" w:rsidR="11ECA0C2" w:rsidRDefault="11ECA0C2" w:rsidP="61EC34E6">
            <w:pPr>
              <w:jc w:val="both"/>
              <w:rPr>
                <w:rFonts w:ascii="Aptos" w:eastAsia="Aptos" w:hAnsi="Aptos" w:cs="Aptos"/>
                <w:sz w:val="22"/>
              </w:rPr>
            </w:pPr>
            <w:r w:rsidRPr="61EC34E6">
              <w:rPr>
                <w:rFonts w:eastAsia="Times New Roman" w:cs="Times New Roman"/>
                <w:sz w:val="22"/>
              </w:rPr>
              <w:t>Lūdzam precizēt kritēriju piemērošanas metodikā specifiskā atbilstības kritērija Nr. 3.2.</w:t>
            </w:r>
            <w:proofErr w:type="gramStart"/>
            <w:r w:rsidRPr="61EC34E6">
              <w:rPr>
                <w:rFonts w:eastAsia="Times New Roman" w:cs="Times New Roman"/>
                <w:sz w:val="22"/>
              </w:rPr>
              <w:t xml:space="preserve">  </w:t>
            </w:r>
            <w:proofErr w:type="gramEnd"/>
            <w:r w:rsidRPr="61EC34E6">
              <w:rPr>
                <w:rFonts w:eastAsia="Times New Roman" w:cs="Times New Roman"/>
                <w:sz w:val="22"/>
              </w:rPr>
              <w:t xml:space="preserve">skaidrojumā </w:t>
            </w:r>
            <w:r w:rsidRPr="61EC34E6">
              <w:rPr>
                <w:rFonts w:eastAsia="Times New Roman" w:cs="Times New Roman"/>
                <w:sz w:val="22"/>
              </w:rPr>
              <w:lastRenderedPageBreak/>
              <w:t>esošo 2. punktu, gadījumā, ja vērtējums būtu “N/A”, aizstājot saikli “jo” ar saikli “ja” atbilstoši MK noteikumu 44.2. apakšpunktā ietvertajiem nosacījumiem. Skaidrojam, ka pirms projekta iesnieguma apstiprināšanas, jāizvērtē</w:t>
            </w:r>
            <w:proofErr w:type="gramStart"/>
            <w:r w:rsidRPr="61EC34E6">
              <w:rPr>
                <w:rFonts w:eastAsia="Times New Roman" w:cs="Times New Roman"/>
                <w:sz w:val="22"/>
              </w:rPr>
              <w:t xml:space="preserve"> vai atbalsts nav uzskatāms par komercdarbības atbalstu un gadījumā, ja projektam ir saimniecisks raksturs, tas nav kvalificējams kā atbalsts komercdarbībai, ja projektam nav ietekmes uz konkurenci un tirdzniecību Eiropas Savienības iekšējā tirgū</w:t>
            </w:r>
            <w:proofErr w:type="gramEnd"/>
            <w:r w:rsidRPr="61EC34E6">
              <w:rPr>
                <w:rFonts w:eastAsia="Times New Roman" w:cs="Times New Roman"/>
                <w:sz w:val="22"/>
              </w:rPr>
              <w:t>.</w:t>
            </w:r>
          </w:p>
        </w:tc>
        <w:tc>
          <w:tcPr>
            <w:tcW w:w="2790" w:type="dxa"/>
          </w:tcPr>
          <w:p w14:paraId="709A699A" w14:textId="5C3FC3B2" w:rsidR="11ECA0C2" w:rsidRDefault="11ECA0C2" w:rsidP="61EC34E6">
            <w:pPr>
              <w:pStyle w:val="Standard"/>
              <w:jc w:val="both"/>
              <w:rPr>
                <w:rFonts w:cs="Times New Roman"/>
                <w:b/>
                <w:bCs/>
                <w:sz w:val="22"/>
              </w:rPr>
            </w:pPr>
            <w:r w:rsidRPr="61EC34E6">
              <w:rPr>
                <w:rFonts w:cs="Times New Roman"/>
                <w:b/>
                <w:bCs/>
                <w:sz w:val="22"/>
              </w:rPr>
              <w:lastRenderedPageBreak/>
              <w:t>Ņemts vērā</w:t>
            </w:r>
          </w:p>
          <w:p w14:paraId="2A911CA5" w14:textId="3412FBE1" w:rsidR="61EC34E6" w:rsidRDefault="61EC34E6" w:rsidP="61EC34E6">
            <w:pPr>
              <w:pStyle w:val="Standard"/>
              <w:jc w:val="both"/>
              <w:rPr>
                <w:b/>
                <w:bCs/>
                <w:sz w:val="22"/>
              </w:rPr>
            </w:pPr>
          </w:p>
        </w:tc>
        <w:tc>
          <w:tcPr>
            <w:tcW w:w="2790" w:type="dxa"/>
          </w:tcPr>
          <w:p w14:paraId="2CB5821F" w14:textId="4C919041" w:rsidR="61EC34E6" w:rsidRDefault="61EC34E6" w:rsidP="00126F2A">
            <w:pPr>
              <w:pStyle w:val="Standard"/>
              <w:jc w:val="both"/>
              <w:rPr>
                <w:sz w:val="22"/>
              </w:rPr>
            </w:pPr>
          </w:p>
        </w:tc>
      </w:tr>
      <w:tr w:rsidR="00340749" w:rsidRPr="000054D9" w14:paraId="39AC4F61" w14:textId="77777777" w:rsidTr="61EC34E6">
        <w:tc>
          <w:tcPr>
            <w:tcW w:w="562" w:type="dxa"/>
          </w:tcPr>
          <w:p w14:paraId="594E3FAD" w14:textId="7C9565CF" w:rsidR="00340749" w:rsidRPr="000054D9" w:rsidRDefault="00126F2A" w:rsidP="00126F2A">
            <w:pPr>
              <w:pStyle w:val="Standard"/>
              <w:ind w:left="720"/>
              <w:jc w:val="center"/>
              <w:rPr>
                <w:rFonts w:cs="Times New Roman"/>
                <w:b/>
                <w:bCs/>
                <w:sz w:val="22"/>
              </w:rPr>
            </w:pPr>
            <w:r>
              <w:rPr>
                <w:rFonts w:cs="Times New Roman"/>
                <w:b/>
                <w:bCs/>
                <w:sz w:val="22"/>
              </w:rPr>
              <w:t>12.</w:t>
            </w:r>
          </w:p>
        </w:tc>
        <w:tc>
          <w:tcPr>
            <w:tcW w:w="2694" w:type="dxa"/>
          </w:tcPr>
          <w:p w14:paraId="29EDC44A" w14:textId="4A07DAA2" w:rsidR="00340749" w:rsidRPr="000054D9" w:rsidRDefault="00F5137A" w:rsidP="00340749">
            <w:pPr>
              <w:pStyle w:val="Standard"/>
              <w:jc w:val="both"/>
              <w:rPr>
                <w:rFonts w:cs="Times New Roman"/>
                <w:b/>
                <w:bCs/>
                <w:sz w:val="22"/>
              </w:rPr>
            </w:pPr>
            <w:r>
              <w:rPr>
                <w:rFonts w:cs="Times New Roman"/>
                <w:b/>
                <w:bCs/>
                <w:sz w:val="22"/>
              </w:rPr>
              <w:t>Kritēriji Nr. 4.4. un 4.7.</w:t>
            </w:r>
          </w:p>
        </w:tc>
        <w:tc>
          <w:tcPr>
            <w:tcW w:w="5112" w:type="dxa"/>
          </w:tcPr>
          <w:p w14:paraId="4057FE69" w14:textId="77777777" w:rsidR="00340749" w:rsidRPr="00F5137A" w:rsidRDefault="00F5137A" w:rsidP="00340749">
            <w:pPr>
              <w:pStyle w:val="Standard"/>
              <w:jc w:val="both"/>
              <w:rPr>
                <w:rFonts w:cs="Times New Roman"/>
                <w:b/>
                <w:bCs/>
                <w:sz w:val="22"/>
              </w:rPr>
            </w:pPr>
            <w:r w:rsidRPr="00F5137A">
              <w:rPr>
                <w:rFonts w:cs="Times New Roman"/>
                <w:b/>
                <w:bCs/>
                <w:sz w:val="22"/>
              </w:rPr>
              <w:t>Labklājības ministrija HP</w:t>
            </w:r>
          </w:p>
          <w:p w14:paraId="2DAE827B" w14:textId="77777777" w:rsidR="00F5137A" w:rsidRDefault="00F5137A" w:rsidP="00340749">
            <w:pPr>
              <w:pStyle w:val="Standard"/>
              <w:jc w:val="both"/>
              <w:rPr>
                <w:rFonts w:cs="Times New Roman"/>
                <w:sz w:val="22"/>
              </w:rPr>
            </w:pPr>
          </w:p>
          <w:p w14:paraId="12D21655" w14:textId="77777777" w:rsidR="00F5137A" w:rsidRPr="00F5137A" w:rsidRDefault="00F5137A" w:rsidP="00F5137A">
            <w:pPr>
              <w:pStyle w:val="Standard"/>
              <w:jc w:val="both"/>
              <w:rPr>
                <w:rFonts w:cs="Times New Roman"/>
                <w:sz w:val="22"/>
              </w:rPr>
            </w:pPr>
            <w:r w:rsidRPr="00F5137A">
              <w:rPr>
                <w:rFonts w:cs="Times New Roman"/>
                <w:sz w:val="22"/>
              </w:rPr>
              <w:t>Lūdzu veikt precizējumus kritēriju metodikas 4.4. kritērijā un 4.7. kvalitātes kritērija sadaļā “Skaidrojums atbilstības noteikšanai” attiecībā uz horizontālā principa “Vienlīdzība, iekļaušana, nediskriminācija un pamattiesību ievērošana” vērtēšanas nosacījumu atspoguļošanu:</w:t>
            </w:r>
          </w:p>
          <w:p w14:paraId="20AF7C12" w14:textId="77777777" w:rsidR="00F5137A" w:rsidRPr="00F5137A" w:rsidRDefault="00F5137A" w:rsidP="00F5137A">
            <w:pPr>
              <w:pStyle w:val="Standard"/>
              <w:jc w:val="both"/>
              <w:rPr>
                <w:rFonts w:cs="Times New Roman"/>
                <w:sz w:val="22"/>
              </w:rPr>
            </w:pPr>
            <w:r w:rsidRPr="00F5137A">
              <w:rPr>
                <w:rFonts w:cs="Times New Roman"/>
                <w:sz w:val="22"/>
              </w:rPr>
              <w:t xml:space="preserve">1) Lūdzu 4.4. kritērijā un citur tekstā labot </w:t>
            </w:r>
            <w:proofErr w:type="spellStart"/>
            <w:r w:rsidRPr="00F5137A">
              <w:rPr>
                <w:rFonts w:cs="Times New Roman"/>
                <w:sz w:val="22"/>
              </w:rPr>
              <w:t>vāŗdu</w:t>
            </w:r>
            <w:proofErr w:type="spellEnd"/>
            <w:r w:rsidRPr="00F5137A">
              <w:rPr>
                <w:rFonts w:cs="Times New Roman"/>
                <w:sz w:val="22"/>
              </w:rPr>
              <w:t xml:space="preserve"> “</w:t>
            </w:r>
            <w:proofErr w:type="spellStart"/>
            <w:r w:rsidRPr="00F5137A">
              <w:rPr>
                <w:rFonts w:cs="Times New Roman"/>
                <w:sz w:val="22"/>
              </w:rPr>
              <w:t>pieejamība”uz</w:t>
            </w:r>
            <w:proofErr w:type="spellEnd"/>
            <w:r w:rsidRPr="00F5137A">
              <w:rPr>
                <w:rFonts w:cs="Times New Roman"/>
                <w:sz w:val="22"/>
              </w:rPr>
              <w:t xml:space="preserve"> “</w:t>
            </w:r>
            <w:proofErr w:type="spellStart"/>
            <w:r w:rsidRPr="00F5137A">
              <w:rPr>
                <w:rFonts w:cs="Times New Roman"/>
                <w:sz w:val="22"/>
              </w:rPr>
              <w:t>piekļūstamība</w:t>
            </w:r>
            <w:proofErr w:type="spellEnd"/>
            <w:r w:rsidRPr="00F5137A">
              <w:rPr>
                <w:rFonts w:cs="Times New Roman"/>
                <w:sz w:val="22"/>
              </w:rPr>
              <w:t>”. Paskaidroju, ka pieejamība (</w:t>
            </w:r>
            <w:proofErr w:type="spellStart"/>
            <w:r w:rsidRPr="00F5137A">
              <w:rPr>
                <w:rFonts w:cs="Times New Roman"/>
                <w:sz w:val="22"/>
              </w:rPr>
              <w:t>angl</w:t>
            </w:r>
            <w:proofErr w:type="spellEnd"/>
            <w:r w:rsidRPr="00F5137A">
              <w:rPr>
                <w:rFonts w:cs="Times New Roman"/>
                <w:sz w:val="22"/>
              </w:rPr>
              <w:t xml:space="preserve">. </w:t>
            </w:r>
            <w:proofErr w:type="spellStart"/>
            <w:r w:rsidRPr="00F5137A">
              <w:rPr>
                <w:rFonts w:cs="Times New Roman"/>
                <w:sz w:val="22"/>
              </w:rPr>
              <w:t>availability</w:t>
            </w:r>
            <w:proofErr w:type="spellEnd"/>
            <w:r w:rsidRPr="00F5137A">
              <w:rPr>
                <w:rFonts w:cs="Times New Roman"/>
                <w:sz w:val="22"/>
              </w:rPr>
              <w:t xml:space="preserve">) nozīmē vides/objekta/pakalpojuma pieejamību vai esamību kopumā. Savukārt </w:t>
            </w:r>
            <w:proofErr w:type="spellStart"/>
            <w:r w:rsidRPr="00F5137A">
              <w:rPr>
                <w:rFonts w:cs="Times New Roman"/>
                <w:sz w:val="22"/>
              </w:rPr>
              <w:t>piekļūstamība</w:t>
            </w:r>
            <w:proofErr w:type="spellEnd"/>
            <w:r w:rsidRPr="00F5137A">
              <w:rPr>
                <w:rFonts w:cs="Times New Roman"/>
                <w:sz w:val="22"/>
              </w:rPr>
              <w:t xml:space="preserve"> (</w:t>
            </w:r>
            <w:proofErr w:type="spellStart"/>
            <w:r w:rsidRPr="00F5137A">
              <w:rPr>
                <w:rFonts w:cs="Times New Roman"/>
                <w:sz w:val="22"/>
              </w:rPr>
              <w:t>angl</w:t>
            </w:r>
            <w:proofErr w:type="spellEnd"/>
            <w:r w:rsidRPr="00F5137A">
              <w:rPr>
                <w:rFonts w:cs="Times New Roman"/>
                <w:sz w:val="22"/>
              </w:rPr>
              <w:t xml:space="preserve">. </w:t>
            </w:r>
            <w:proofErr w:type="spellStart"/>
            <w:r w:rsidRPr="00F5137A">
              <w:rPr>
                <w:rFonts w:cs="Times New Roman"/>
                <w:sz w:val="22"/>
              </w:rPr>
              <w:t>accessibility</w:t>
            </w:r>
            <w:proofErr w:type="spellEnd"/>
            <w:r w:rsidRPr="00F5137A">
              <w:rPr>
                <w:rFonts w:cs="Times New Roman"/>
                <w:sz w:val="22"/>
              </w:rPr>
              <w:t xml:space="preserve">) nozīmē, ka konkrētajai videi/objektam/pakalpojumam ir iespēja fiziski piekļūt, kā arī to var lietot, izmantojot vairākus sensoros (redze, dzirde, tauste) kanālus. Tādējādi pieejamība var izslēgt </w:t>
            </w:r>
            <w:proofErr w:type="spellStart"/>
            <w:r w:rsidRPr="00F5137A">
              <w:rPr>
                <w:rFonts w:cs="Times New Roman"/>
                <w:sz w:val="22"/>
              </w:rPr>
              <w:t>piekļūstamību</w:t>
            </w:r>
            <w:proofErr w:type="spellEnd"/>
            <w:r w:rsidRPr="00F5137A">
              <w:rPr>
                <w:rFonts w:cs="Times New Roman"/>
                <w:sz w:val="22"/>
              </w:rPr>
              <w:t xml:space="preserve">, savukārt </w:t>
            </w:r>
            <w:proofErr w:type="spellStart"/>
            <w:r w:rsidRPr="00F5137A">
              <w:rPr>
                <w:rFonts w:cs="Times New Roman"/>
                <w:sz w:val="22"/>
              </w:rPr>
              <w:t>piekļūstamība</w:t>
            </w:r>
            <w:proofErr w:type="spellEnd"/>
            <w:r w:rsidRPr="00F5137A">
              <w:rPr>
                <w:rFonts w:cs="Times New Roman"/>
                <w:sz w:val="22"/>
              </w:rPr>
              <w:t xml:space="preserve"> ietver arī pieejamību.</w:t>
            </w:r>
          </w:p>
          <w:p w14:paraId="07377311" w14:textId="77777777" w:rsidR="00F5137A" w:rsidRPr="00F5137A" w:rsidRDefault="00F5137A" w:rsidP="00F5137A">
            <w:pPr>
              <w:pStyle w:val="Standard"/>
              <w:jc w:val="both"/>
              <w:rPr>
                <w:rFonts w:cs="Times New Roman"/>
                <w:sz w:val="22"/>
              </w:rPr>
            </w:pPr>
            <w:r w:rsidRPr="00F5137A">
              <w:rPr>
                <w:rFonts w:cs="Times New Roman"/>
                <w:sz w:val="22"/>
              </w:rPr>
              <w:t xml:space="preserve">2) Lūdzu veikt tehniskus precizējumus 4.7.kritērija skaidrojumā (skatīt pievienotajā dokumentā), kas ļaus projekta iesniedzējam precīzāk izprast nosacījumus attiecībā uz HP VINPI atspoguļošanu projekta iesniegumā. </w:t>
            </w:r>
          </w:p>
          <w:p w14:paraId="219008B3" w14:textId="75461350" w:rsidR="00F5137A" w:rsidRPr="000054D9" w:rsidRDefault="00F5137A" w:rsidP="00F5137A">
            <w:pPr>
              <w:pStyle w:val="Standard"/>
              <w:jc w:val="both"/>
              <w:rPr>
                <w:rFonts w:cs="Times New Roman"/>
                <w:sz w:val="22"/>
              </w:rPr>
            </w:pPr>
            <w:r w:rsidRPr="00F5137A">
              <w:rPr>
                <w:rFonts w:cs="Times New Roman"/>
                <w:sz w:val="22"/>
              </w:rPr>
              <w:t>Lūdzu skatīt visus komentārus un papildinājumus pievienotajā dokumentā.</w:t>
            </w:r>
          </w:p>
        </w:tc>
        <w:tc>
          <w:tcPr>
            <w:tcW w:w="2790" w:type="dxa"/>
          </w:tcPr>
          <w:p w14:paraId="2DAA8F40" w14:textId="0FDDFF1F" w:rsidR="00340749" w:rsidRPr="000054D9" w:rsidRDefault="205EB882" w:rsidP="2F7B211B">
            <w:pPr>
              <w:pStyle w:val="Standard"/>
              <w:jc w:val="both"/>
              <w:rPr>
                <w:rFonts w:cs="Times New Roman"/>
                <w:sz w:val="22"/>
              </w:rPr>
            </w:pPr>
            <w:r w:rsidRPr="2F7B211B">
              <w:rPr>
                <w:rFonts w:cs="Times New Roman"/>
                <w:b/>
                <w:bCs/>
                <w:sz w:val="22"/>
              </w:rPr>
              <w:t>Ņemts vērā</w:t>
            </w:r>
          </w:p>
        </w:tc>
        <w:tc>
          <w:tcPr>
            <w:tcW w:w="2790" w:type="dxa"/>
          </w:tcPr>
          <w:p w14:paraId="03464406" w14:textId="77777777" w:rsidR="00340749" w:rsidRPr="000054D9" w:rsidRDefault="00340749" w:rsidP="00340749">
            <w:pPr>
              <w:pStyle w:val="Standard"/>
              <w:jc w:val="both"/>
              <w:rPr>
                <w:rFonts w:cs="Times New Roman"/>
                <w:sz w:val="22"/>
              </w:rPr>
            </w:pPr>
          </w:p>
        </w:tc>
      </w:tr>
    </w:tbl>
    <w:p w14:paraId="66AF8B3F" w14:textId="1D529B3E" w:rsidR="61EC34E6" w:rsidRDefault="61EC34E6"/>
    <w:p w14:paraId="2B97EC4F" w14:textId="606C92B2" w:rsidR="61EC34E6" w:rsidRDefault="61EC34E6"/>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10"/>
      <w:footerReference w:type="default" r:id="rId11"/>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7DD9" w14:textId="77777777" w:rsidR="00BA461D" w:rsidRDefault="00BA461D" w:rsidP="00137F01">
      <w:r>
        <w:separator/>
      </w:r>
    </w:p>
  </w:endnote>
  <w:endnote w:type="continuationSeparator" w:id="0">
    <w:p w14:paraId="57380EB9" w14:textId="77777777" w:rsidR="00BA461D" w:rsidRDefault="00BA461D"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1EFABF2C" w:rsidR="00A57181" w:rsidRDefault="00A57181">
        <w:pPr>
          <w:pStyle w:val="Kjene"/>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941BB3" w:rsidRDefault="00941B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C52B" w14:textId="77777777" w:rsidR="00BA461D" w:rsidRDefault="00BA461D" w:rsidP="00137F01">
      <w:r>
        <w:separator/>
      </w:r>
    </w:p>
  </w:footnote>
  <w:footnote w:type="continuationSeparator" w:id="0">
    <w:p w14:paraId="244D6741" w14:textId="77777777" w:rsidR="00BA461D" w:rsidRDefault="00BA461D"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298E2645" w:rsidR="00941BB3" w:rsidRPr="00137F01" w:rsidRDefault="00340749" w:rsidP="00911740">
    <w:pPr>
      <w:pStyle w:val="Galvene"/>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6-04T00:00:00Z">
          <w:dateFormat w:val="dd.MM.yyyy"/>
          <w:lid w:val="lv-LV"/>
          <w:storeMappedDataAs w:val="dateTime"/>
          <w:calendar w:val="gregorian"/>
        </w:date>
      </w:sdtPr>
      <w:sdtEndPr/>
      <w:sdtContent>
        <w:r w:rsidR="00941BB3">
          <w:rPr>
            <w:rFonts w:cs="Times New Roman"/>
            <w:i/>
            <w:szCs w:val="24"/>
          </w:rPr>
          <w:t>04.06.2024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609"/>
    <w:multiLevelType w:val="hybridMultilevel"/>
    <w:tmpl w:val="CFE88B36"/>
    <w:lvl w:ilvl="0" w:tplc="FED26054">
      <w:start w:val="1"/>
      <w:numFmt w:val="decimal"/>
      <w:lvlText w:val="%1."/>
      <w:lvlJc w:val="left"/>
      <w:pPr>
        <w:ind w:left="720" w:hanging="360"/>
      </w:pPr>
    </w:lvl>
    <w:lvl w:ilvl="1" w:tplc="DCB21FB2">
      <w:start w:val="1"/>
      <w:numFmt w:val="lowerLetter"/>
      <w:lvlText w:val="%2."/>
      <w:lvlJc w:val="left"/>
      <w:pPr>
        <w:ind w:left="1440" w:hanging="360"/>
      </w:pPr>
    </w:lvl>
    <w:lvl w:ilvl="2" w:tplc="73CA875A">
      <w:start w:val="1"/>
      <w:numFmt w:val="lowerRoman"/>
      <w:lvlText w:val="%3."/>
      <w:lvlJc w:val="right"/>
      <w:pPr>
        <w:ind w:left="2160" w:hanging="180"/>
      </w:pPr>
    </w:lvl>
    <w:lvl w:ilvl="3" w:tplc="0E3A12A4">
      <w:start w:val="1"/>
      <w:numFmt w:val="decimal"/>
      <w:lvlText w:val="%4."/>
      <w:lvlJc w:val="left"/>
      <w:pPr>
        <w:ind w:left="2880" w:hanging="360"/>
      </w:pPr>
    </w:lvl>
    <w:lvl w:ilvl="4" w:tplc="677A36B2">
      <w:start w:val="1"/>
      <w:numFmt w:val="lowerLetter"/>
      <w:lvlText w:val="%5."/>
      <w:lvlJc w:val="left"/>
      <w:pPr>
        <w:ind w:left="3600" w:hanging="360"/>
      </w:pPr>
    </w:lvl>
    <w:lvl w:ilvl="5" w:tplc="DD00E626">
      <w:start w:val="1"/>
      <w:numFmt w:val="lowerRoman"/>
      <w:lvlText w:val="%6."/>
      <w:lvlJc w:val="right"/>
      <w:pPr>
        <w:ind w:left="4320" w:hanging="180"/>
      </w:pPr>
    </w:lvl>
    <w:lvl w:ilvl="6" w:tplc="BE52F778">
      <w:start w:val="1"/>
      <w:numFmt w:val="decimal"/>
      <w:lvlText w:val="%7."/>
      <w:lvlJc w:val="left"/>
      <w:pPr>
        <w:ind w:left="5040" w:hanging="360"/>
      </w:pPr>
    </w:lvl>
    <w:lvl w:ilvl="7" w:tplc="5100E344">
      <w:start w:val="1"/>
      <w:numFmt w:val="lowerLetter"/>
      <w:lvlText w:val="%8."/>
      <w:lvlJc w:val="left"/>
      <w:pPr>
        <w:ind w:left="5760" w:hanging="360"/>
      </w:pPr>
    </w:lvl>
    <w:lvl w:ilvl="8" w:tplc="6360B6FC">
      <w:start w:val="1"/>
      <w:numFmt w:val="lowerRoman"/>
      <w:lvlText w:val="%9."/>
      <w:lvlJc w:val="right"/>
      <w:pPr>
        <w:ind w:left="6480" w:hanging="180"/>
      </w:pPr>
    </w:lvl>
  </w:abstractNum>
  <w:abstractNum w:abstractNumId="1"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D5D2498"/>
    <w:multiLevelType w:val="hybridMultilevel"/>
    <w:tmpl w:val="971A5F04"/>
    <w:lvl w:ilvl="0" w:tplc="9C225660">
      <w:start w:val="1"/>
      <w:numFmt w:val="decimal"/>
      <w:lvlText w:val="%1."/>
      <w:lvlJc w:val="left"/>
      <w:pPr>
        <w:ind w:left="720" w:hanging="360"/>
      </w:pPr>
    </w:lvl>
    <w:lvl w:ilvl="1" w:tplc="23642954">
      <w:start w:val="1"/>
      <w:numFmt w:val="lowerLetter"/>
      <w:lvlText w:val="%2."/>
      <w:lvlJc w:val="left"/>
      <w:pPr>
        <w:ind w:left="1440" w:hanging="360"/>
      </w:pPr>
    </w:lvl>
    <w:lvl w:ilvl="2" w:tplc="F2121F24">
      <w:start w:val="1"/>
      <w:numFmt w:val="lowerRoman"/>
      <w:lvlText w:val="%3."/>
      <w:lvlJc w:val="right"/>
      <w:pPr>
        <w:ind w:left="2160" w:hanging="180"/>
      </w:pPr>
    </w:lvl>
    <w:lvl w:ilvl="3" w:tplc="1BFAB782">
      <w:start w:val="1"/>
      <w:numFmt w:val="decimal"/>
      <w:lvlText w:val="%4."/>
      <w:lvlJc w:val="left"/>
      <w:pPr>
        <w:ind w:left="2880" w:hanging="360"/>
      </w:pPr>
    </w:lvl>
    <w:lvl w:ilvl="4" w:tplc="AADC4E02">
      <w:start w:val="1"/>
      <w:numFmt w:val="lowerLetter"/>
      <w:lvlText w:val="%5."/>
      <w:lvlJc w:val="left"/>
      <w:pPr>
        <w:ind w:left="3600" w:hanging="360"/>
      </w:pPr>
    </w:lvl>
    <w:lvl w:ilvl="5" w:tplc="27BA6636">
      <w:start w:val="1"/>
      <w:numFmt w:val="lowerRoman"/>
      <w:lvlText w:val="%6."/>
      <w:lvlJc w:val="right"/>
      <w:pPr>
        <w:ind w:left="4320" w:hanging="180"/>
      </w:pPr>
    </w:lvl>
    <w:lvl w:ilvl="6" w:tplc="7D9ADEA0">
      <w:start w:val="1"/>
      <w:numFmt w:val="decimal"/>
      <w:lvlText w:val="%7."/>
      <w:lvlJc w:val="left"/>
      <w:pPr>
        <w:ind w:left="5040" w:hanging="360"/>
      </w:pPr>
    </w:lvl>
    <w:lvl w:ilvl="7" w:tplc="356A92BC">
      <w:start w:val="1"/>
      <w:numFmt w:val="lowerLetter"/>
      <w:lvlText w:val="%8."/>
      <w:lvlJc w:val="left"/>
      <w:pPr>
        <w:ind w:left="5760" w:hanging="360"/>
      </w:pPr>
    </w:lvl>
    <w:lvl w:ilvl="8" w:tplc="A9DAA664">
      <w:start w:val="1"/>
      <w:numFmt w:val="lowerRoman"/>
      <w:lvlText w:val="%9."/>
      <w:lvlJc w:val="right"/>
      <w:pPr>
        <w:ind w:left="6480" w:hanging="180"/>
      </w:pPr>
    </w:lvl>
  </w:abstractNum>
  <w:abstractNum w:abstractNumId="7"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2"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7FA8AAA"/>
    <w:multiLevelType w:val="hybridMultilevel"/>
    <w:tmpl w:val="54D28D20"/>
    <w:lvl w:ilvl="0" w:tplc="7FE4D81C">
      <w:start w:val="1"/>
      <w:numFmt w:val="decimal"/>
      <w:lvlText w:val="%1."/>
      <w:lvlJc w:val="left"/>
      <w:pPr>
        <w:ind w:left="720" w:hanging="360"/>
      </w:pPr>
    </w:lvl>
    <w:lvl w:ilvl="1" w:tplc="22104530">
      <w:start w:val="1"/>
      <w:numFmt w:val="lowerLetter"/>
      <w:lvlText w:val="%2."/>
      <w:lvlJc w:val="left"/>
      <w:pPr>
        <w:ind w:left="1440" w:hanging="360"/>
      </w:pPr>
    </w:lvl>
    <w:lvl w:ilvl="2" w:tplc="93468118">
      <w:start w:val="1"/>
      <w:numFmt w:val="lowerRoman"/>
      <w:lvlText w:val="%3."/>
      <w:lvlJc w:val="right"/>
      <w:pPr>
        <w:ind w:left="2160" w:hanging="180"/>
      </w:pPr>
    </w:lvl>
    <w:lvl w:ilvl="3" w:tplc="D7E63C18">
      <w:start w:val="1"/>
      <w:numFmt w:val="decimal"/>
      <w:lvlText w:val="%4."/>
      <w:lvlJc w:val="left"/>
      <w:pPr>
        <w:ind w:left="2880" w:hanging="360"/>
      </w:pPr>
    </w:lvl>
    <w:lvl w:ilvl="4" w:tplc="B3C89540">
      <w:start w:val="1"/>
      <w:numFmt w:val="lowerLetter"/>
      <w:lvlText w:val="%5."/>
      <w:lvlJc w:val="left"/>
      <w:pPr>
        <w:ind w:left="3600" w:hanging="360"/>
      </w:pPr>
    </w:lvl>
    <w:lvl w:ilvl="5" w:tplc="342271EA">
      <w:start w:val="1"/>
      <w:numFmt w:val="lowerRoman"/>
      <w:lvlText w:val="%6."/>
      <w:lvlJc w:val="right"/>
      <w:pPr>
        <w:ind w:left="4320" w:hanging="180"/>
      </w:pPr>
    </w:lvl>
    <w:lvl w:ilvl="6" w:tplc="BB4AA7E6">
      <w:start w:val="1"/>
      <w:numFmt w:val="decimal"/>
      <w:lvlText w:val="%7."/>
      <w:lvlJc w:val="left"/>
      <w:pPr>
        <w:ind w:left="5040" w:hanging="360"/>
      </w:pPr>
    </w:lvl>
    <w:lvl w:ilvl="7" w:tplc="C90C56F4">
      <w:start w:val="1"/>
      <w:numFmt w:val="lowerLetter"/>
      <w:lvlText w:val="%8."/>
      <w:lvlJc w:val="left"/>
      <w:pPr>
        <w:ind w:left="5760" w:hanging="360"/>
      </w:pPr>
    </w:lvl>
    <w:lvl w:ilvl="8" w:tplc="4A3EA95A">
      <w:start w:val="1"/>
      <w:numFmt w:val="lowerRoman"/>
      <w:lvlText w:val="%9."/>
      <w:lvlJc w:val="right"/>
      <w:pPr>
        <w:ind w:left="6480" w:hanging="180"/>
      </w:pPr>
    </w:lvl>
  </w:abstractNum>
  <w:num w:numId="1" w16cid:durableId="1552111267">
    <w:abstractNumId w:val="6"/>
  </w:num>
  <w:num w:numId="2" w16cid:durableId="544681338">
    <w:abstractNumId w:val="14"/>
  </w:num>
  <w:num w:numId="3" w16cid:durableId="65417960">
    <w:abstractNumId w:val="0"/>
  </w:num>
  <w:num w:numId="4" w16cid:durableId="515463603">
    <w:abstractNumId w:val="7"/>
  </w:num>
  <w:num w:numId="5" w16cid:durableId="23135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764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296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8132241">
    <w:abstractNumId w:val="11"/>
  </w:num>
  <w:num w:numId="9" w16cid:durableId="1438597007">
    <w:abstractNumId w:val="2"/>
  </w:num>
  <w:num w:numId="10" w16cid:durableId="104161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925338">
    <w:abstractNumId w:val="5"/>
  </w:num>
  <w:num w:numId="12" w16cid:durableId="1523201113">
    <w:abstractNumId w:val="8"/>
  </w:num>
  <w:num w:numId="13" w16cid:durableId="1378159493">
    <w:abstractNumId w:val="1"/>
  </w:num>
  <w:num w:numId="14" w16cid:durableId="2060738101">
    <w:abstractNumId w:val="4"/>
  </w:num>
  <w:num w:numId="15" w16cid:durableId="1777021998">
    <w:abstractNumId w:val="12"/>
  </w:num>
  <w:num w:numId="16" w16cid:durableId="1892032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54D9"/>
    <w:rsid w:val="00041E01"/>
    <w:rsid w:val="000D0EF3"/>
    <w:rsid w:val="0011368E"/>
    <w:rsid w:val="00126F2A"/>
    <w:rsid w:val="0013226F"/>
    <w:rsid w:val="00137F01"/>
    <w:rsid w:val="00144BC7"/>
    <w:rsid w:val="00213D2A"/>
    <w:rsid w:val="002C5DC5"/>
    <w:rsid w:val="00303A9D"/>
    <w:rsid w:val="0031764B"/>
    <w:rsid w:val="00340749"/>
    <w:rsid w:val="003F16D6"/>
    <w:rsid w:val="00437C39"/>
    <w:rsid w:val="00461358"/>
    <w:rsid w:val="00510407"/>
    <w:rsid w:val="007C8EE4"/>
    <w:rsid w:val="00840E7D"/>
    <w:rsid w:val="008A1B18"/>
    <w:rsid w:val="008B4943"/>
    <w:rsid w:val="008F7D6C"/>
    <w:rsid w:val="00920991"/>
    <w:rsid w:val="00941BB3"/>
    <w:rsid w:val="0095483D"/>
    <w:rsid w:val="0097665E"/>
    <w:rsid w:val="00983A47"/>
    <w:rsid w:val="009956D7"/>
    <w:rsid w:val="009D1F18"/>
    <w:rsid w:val="009F2A87"/>
    <w:rsid w:val="00A027AF"/>
    <w:rsid w:val="00A57181"/>
    <w:rsid w:val="00AD3104"/>
    <w:rsid w:val="00B4039D"/>
    <w:rsid w:val="00BA461D"/>
    <w:rsid w:val="00BC6F47"/>
    <w:rsid w:val="00C60FD9"/>
    <w:rsid w:val="00C61429"/>
    <w:rsid w:val="00CE55D4"/>
    <w:rsid w:val="00DD7863"/>
    <w:rsid w:val="00E35E61"/>
    <w:rsid w:val="00E37443"/>
    <w:rsid w:val="00F14914"/>
    <w:rsid w:val="00F5137A"/>
    <w:rsid w:val="00F77A0B"/>
    <w:rsid w:val="00FC5C70"/>
    <w:rsid w:val="022FBD54"/>
    <w:rsid w:val="03672F98"/>
    <w:rsid w:val="036EB134"/>
    <w:rsid w:val="038E2ACD"/>
    <w:rsid w:val="03D7476B"/>
    <w:rsid w:val="082F57A4"/>
    <w:rsid w:val="0853BD7E"/>
    <w:rsid w:val="0C55E158"/>
    <w:rsid w:val="0CB3922C"/>
    <w:rsid w:val="0D476115"/>
    <w:rsid w:val="0E11BBE6"/>
    <w:rsid w:val="0F482684"/>
    <w:rsid w:val="11BE6A3D"/>
    <w:rsid w:val="11ECA0C2"/>
    <w:rsid w:val="135CB84C"/>
    <w:rsid w:val="13771E64"/>
    <w:rsid w:val="16BE3805"/>
    <w:rsid w:val="17A2DE6A"/>
    <w:rsid w:val="193C51E6"/>
    <w:rsid w:val="1C1BD283"/>
    <w:rsid w:val="1CD3613E"/>
    <w:rsid w:val="1D4D12FD"/>
    <w:rsid w:val="1D5E55EC"/>
    <w:rsid w:val="1D7A3492"/>
    <w:rsid w:val="1F9AD2E3"/>
    <w:rsid w:val="203E801D"/>
    <w:rsid w:val="205EB882"/>
    <w:rsid w:val="20E40BC8"/>
    <w:rsid w:val="225E204D"/>
    <w:rsid w:val="230E3C2C"/>
    <w:rsid w:val="232A06B3"/>
    <w:rsid w:val="23967B92"/>
    <w:rsid w:val="23A75306"/>
    <w:rsid w:val="23DA01A7"/>
    <w:rsid w:val="25437AE2"/>
    <w:rsid w:val="26487F18"/>
    <w:rsid w:val="28B58BC5"/>
    <w:rsid w:val="29538A3C"/>
    <w:rsid w:val="2AAAC841"/>
    <w:rsid w:val="2BE5138C"/>
    <w:rsid w:val="2C81823B"/>
    <w:rsid w:val="2CC04BE3"/>
    <w:rsid w:val="2CEEE4CF"/>
    <w:rsid w:val="2F7B211B"/>
    <w:rsid w:val="318B31BF"/>
    <w:rsid w:val="342995AD"/>
    <w:rsid w:val="3439C11C"/>
    <w:rsid w:val="34405757"/>
    <w:rsid w:val="345E0E6A"/>
    <w:rsid w:val="34BFC7F9"/>
    <w:rsid w:val="350A7CEA"/>
    <w:rsid w:val="352C2BC3"/>
    <w:rsid w:val="356FC2ED"/>
    <w:rsid w:val="35B65A0D"/>
    <w:rsid w:val="381132BA"/>
    <w:rsid w:val="39075300"/>
    <w:rsid w:val="391BB5C2"/>
    <w:rsid w:val="3C0D4EE8"/>
    <w:rsid w:val="3C1B775D"/>
    <w:rsid w:val="3E89F4CE"/>
    <w:rsid w:val="3E93A5F7"/>
    <w:rsid w:val="3F697C6E"/>
    <w:rsid w:val="3FB4CDD8"/>
    <w:rsid w:val="400D72AE"/>
    <w:rsid w:val="4038BE1F"/>
    <w:rsid w:val="41A9430F"/>
    <w:rsid w:val="41DD63CE"/>
    <w:rsid w:val="426C4CC7"/>
    <w:rsid w:val="427EF91A"/>
    <w:rsid w:val="43893806"/>
    <w:rsid w:val="43D0EDF9"/>
    <w:rsid w:val="44518828"/>
    <w:rsid w:val="44B81434"/>
    <w:rsid w:val="46159611"/>
    <w:rsid w:val="488A9306"/>
    <w:rsid w:val="48E2EB50"/>
    <w:rsid w:val="4B455DA0"/>
    <w:rsid w:val="4CCFC2D1"/>
    <w:rsid w:val="4ED1355E"/>
    <w:rsid w:val="4F451402"/>
    <w:rsid w:val="555CAAEC"/>
    <w:rsid w:val="559E84C6"/>
    <w:rsid w:val="56B31803"/>
    <w:rsid w:val="56B9F80B"/>
    <w:rsid w:val="576D7292"/>
    <w:rsid w:val="59EB7AB4"/>
    <w:rsid w:val="5A2E5481"/>
    <w:rsid w:val="5A4C6E7E"/>
    <w:rsid w:val="5AE4808D"/>
    <w:rsid w:val="5E969777"/>
    <w:rsid w:val="5F359E18"/>
    <w:rsid w:val="60C0F156"/>
    <w:rsid w:val="61EC34E6"/>
    <w:rsid w:val="6382283D"/>
    <w:rsid w:val="6558D557"/>
    <w:rsid w:val="6580FB9E"/>
    <w:rsid w:val="6708E62A"/>
    <w:rsid w:val="67BCFEC0"/>
    <w:rsid w:val="684146D7"/>
    <w:rsid w:val="6866615B"/>
    <w:rsid w:val="694E5880"/>
    <w:rsid w:val="696197DD"/>
    <w:rsid w:val="6A7DF26D"/>
    <w:rsid w:val="6D9D7074"/>
    <w:rsid w:val="70227050"/>
    <w:rsid w:val="705B74D1"/>
    <w:rsid w:val="714AB8A9"/>
    <w:rsid w:val="7161D74F"/>
    <w:rsid w:val="770483C1"/>
    <w:rsid w:val="791BAFA4"/>
    <w:rsid w:val="7948AEFF"/>
    <w:rsid w:val="7A15F87F"/>
    <w:rsid w:val="7B0C3A3D"/>
    <w:rsid w:val="7C18CE89"/>
    <w:rsid w:val="7D009933"/>
    <w:rsid w:val="7DE2E3FC"/>
    <w:rsid w:val="7E271ADF"/>
    <w:rsid w:val="7FAEB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Virsraksts1">
    <w:name w:val="heading 1"/>
    <w:next w:val="Parasts"/>
    <w:link w:val="Virsraksts1Rakstz"/>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Sarakstarindkopa">
    <w:name w:val="List Paragraph"/>
    <w:aliases w:val="H&amp;P List Paragraph,2,Strip,Saraksta rindkopa1,Normal bullet 2,Bullet list,List Paragraph1"/>
    <w:basedOn w:val="Standard"/>
    <w:link w:val="SarakstarindkopaRakstz"/>
    <w:uiPriority w:val="34"/>
    <w:qFormat/>
    <w:rsid w:val="00137F01"/>
    <w:pPr>
      <w:ind w:left="720"/>
    </w:pPr>
  </w:style>
  <w:style w:type="paragraph" w:styleId="Galvene">
    <w:name w:val="header"/>
    <w:basedOn w:val="Parasts"/>
    <w:link w:val="GalveneRakstz"/>
    <w:uiPriority w:val="99"/>
    <w:unhideWhenUsed/>
    <w:rsid w:val="00137F01"/>
    <w:pPr>
      <w:tabs>
        <w:tab w:val="center" w:pos="4153"/>
        <w:tab w:val="right" w:pos="8306"/>
      </w:tabs>
    </w:pPr>
  </w:style>
  <w:style w:type="character" w:customStyle="1" w:styleId="GalveneRakstz">
    <w:name w:val="Galvene Rakstz."/>
    <w:basedOn w:val="Noklusjumarindkopasfonts"/>
    <w:link w:val="Galvene"/>
    <w:uiPriority w:val="99"/>
    <w:rsid w:val="00137F01"/>
    <w:rPr>
      <w:rFonts w:eastAsia="SimSun" w:cs="F"/>
      <w:kern w:val="3"/>
      <w:szCs w:val="22"/>
      <w14:ligatures w14:val="none"/>
    </w:rPr>
  </w:style>
  <w:style w:type="paragraph" w:styleId="Kjene">
    <w:name w:val="footer"/>
    <w:basedOn w:val="Parasts"/>
    <w:link w:val="KjeneRakstz"/>
    <w:uiPriority w:val="99"/>
    <w:unhideWhenUsed/>
    <w:rsid w:val="00137F01"/>
    <w:pPr>
      <w:tabs>
        <w:tab w:val="center" w:pos="4153"/>
        <w:tab w:val="right" w:pos="8306"/>
      </w:tabs>
    </w:pPr>
  </w:style>
  <w:style w:type="character" w:customStyle="1" w:styleId="KjeneRakstz">
    <w:name w:val="Kājene Rakstz."/>
    <w:basedOn w:val="Noklusjumarindkopasfonts"/>
    <w:link w:val="Kjene"/>
    <w:uiPriority w:val="99"/>
    <w:rsid w:val="00137F01"/>
    <w:rPr>
      <w:rFonts w:eastAsia="SimSun" w:cs="F"/>
      <w:kern w:val="3"/>
      <w:szCs w:val="22"/>
      <w14:ligatures w14:val="none"/>
    </w:rPr>
  </w:style>
  <w:style w:type="character" w:styleId="Komentraatsauce">
    <w:name w:val="annotation reference"/>
    <w:basedOn w:val="Noklusjumarindkopasfonts"/>
    <w:uiPriority w:val="99"/>
    <w:semiHidden/>
    <w:unhideWhenUsed/>
    <w:rsid w:val="00137F01"/>
    <w:rPr>
      <w:sz w:val="16"/>
      <w:szCs w:val="16"/>
    </w:rPr>
  </w:style>
  <w:style w:type="paragraph" w:styleId="Komentrateksts">
    <w:name w:val="annotation text"/>
    <w:basedOn w:val="Parasts"/>
    <w:link w:val="KomentratekstsRakstz"/>
    <w:uiPriority w:val="99"/>
    <w:unhideWhenUsed/>
    <w:rsid w:val="00137F01"/>
    <w:rPr>
      <w:sz w:val="20"/>
      <w:szCs w:val="20"/>
    </w:rPr>
  </w:style>
  <w:style w:type="character" w:customStyle="1" w:styleId="KomentratekstsRakstz">
    <w:name w:val="Komentāra teksts Rakstz."/>
    <w:basedOn w:val="Noklusjumarindkopasfonts"/>
    <w:link w:val="Komentrateksts"/>
    <w:uiPriority w:val="99"/>
    <w:rsid w:val="00137F01"/>
    <w:rPr>
      <w:rFonts w:eastAsia="SimSun" w:cs="F"/>
      <w:kern w:val="3"/>
      <w:sz w:val="20"/>
      <w:szCs w:val="20"/>
      <w14:ligatures w14:val="none"/>
    </w:rPr>
  </w:style>
  <w:style w:type="paragraph" w:styleId="Komentratma">
    <w:name w:val="annotation subject"/>
    <w:basedOn w:val="Komentrateksts"/>
    <w:next w:val="Komentrateksts"/>
    <w:link w:val="KomentratmaRakstz"/>
    <w:uiPriority w:val="99"/>
    <w:semiHidden/>
    <w:unhideWhenUsed/>
    <w:rsid w:val="00137F01"/>
    <w:rPr>
      <w:b/>
      <w:bCs/>
    </w:rPr>
  </w:style>
  <w:style w:type="character" w:customStyle="1" w:styleId="KomentratmaRakstz">
    <w:name w:val="Komentāra tēma Rakstz."/>
    <w:basedOn w:val="KomentratekstsRakstz"/>
    <w:link w:val="Komentratma"/>
    <w:uiPriority w:val="99"/>
    <w:semiHidden/>
    <w:rsid w:val="00137F01"/>
    <w:rPr>
      <w:rFonts w:eastAsia="SimSun" w:cs="F"/>
      <w:b/>
      <w:bCs/>
      <w:kern w:val="3"/>
      <w:sz w:val="20"/>
      <w:szCs w:val="20"/>
      <w14:ligatures w14:val="none"/>
    </w:rPr>
  </w:style>
  <w:style w:type="paragraph" w:styleId="Balonteksts">
    <w:name w:val="Balloon Text"/>
    <w:basedOn w:val="Parasts"/>
    <w:link w:val="BalontekstsRakstz"/>
    <w:uiPriority w:val="99"/>
    <w:semiHidden/>
    <w:unhideWhenUsed/>
    <w:rsid w:val="00137F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7F01"/>
    <w:rPr>
      <w:rFonts w:ascii="Segoe UI" w:eastAsia="SimSun" w:hAnsi="Segoe UI" w:cs="Segoe UI"/>
      <w:kern w:val="3"/>
      <w:sz w:val="18"/>
      <w:szCs w:val="18"/>
      <w14:ligatures w14:val="none"/>
    </w:rPr>
  </w:style>
  <w:style w:type="character" w:styleId="Hipersaite">
    <w:name w:val="Hyperlink"/>
    <w:basedOn w:val="Noklusjumarindkopasfonts"/>
    <w:uiPriority w:val="99"/>
    <w:unhideWhenUsed/>
    <w:rsid w:val="00137F01"/>
    <w:rPr>
      <w:color w:val="0563C1"/>
      <w:u w:val="single"/>
    </w:rPr>
  </w:style>
  <w:style w:type="character" w:customStyle="1" w:styleId="NoteikumutekstamRakstz">
    <w:name w:val="Noteikumu tekstam Rakstz."/>
    <w:basedOn w:val="Noklusjumarindkopasfonts"/>
    <w:link w:val="Noteikumutekstam"/>
    <w:locked/>
    <w:rsid w:val="00137F01"/>
  </w:style>
  <w:style w:type="paragraph" w:customStyle="1" w:styleId="Noteikumutekstam">
    <w:name w:val="Noteikumu tekstam"/>
    <w:basedOn w:val="Parasts"/>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Bezatstarpm">
    <w:name w:val="No Spacing"/>
    <w:basedOn w:val="Parasts"/>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Reatabula">
    <w:name w:val="Table Grid"/>
    <w:basedOn w:val="Parastatabula"/>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Saraksta rindkopa1 Rakstz.,Normal bullet 2 Rakstz.,Bullet list Rakstz.,List Paragraph1 Rakstz."/>
    <w:basedOn w:val="Noklusjumarindkopasfonts"/>
    <w:link w:val="Sarakstarindkopa"/>
    <w:uiPriority w:val="34"/>
    <w:locked/>
    <w:rsid w:val="00137F01"/>
    <w:rPr>
      <w:rFonts w:eastAsia="Calibri"/>
      <w:kern w:val="3"/>
      <w:szCs w:val="22"/>
      <w14:ligatures w14:val="none"/>
    </w:rPr>
  </w:style>
  <w:style w:type="paragraph" w:customStyle="1" w:styleId="Default">
    <w:name w:val="Default"/>
    <w:basedOn w:val="Parasts"/>
    <w:rsid w:val="00137F01"/>
    <w:pPr>
      <w:widowControl/>
      <w:suppressAutoHyphens w:val="0"/>
      <w:autoSpaceDE w:val="0"/>
      <w:textAlignment w:val="auto"/>
    </w:pPr>
    <w:rPr>
      <w:rFonts w:eastAsiaTheme="minorHAnsi" w:cs="Times New Roman"/>
      <w:color w:val="000000"/>
      <w:kern w:val="0"/>
      <w:szCs w:val="24"/>
      <w:lang w:eastAsia="lv-LV"/>
    </w:rPr>
  </w:style>
  <w:style w:type="character" w:styleId="Vietturateksts">
    <w:name w:val="Placeholder Text"/>
    <w:basedOn w:val="Noklusjumarindkopasfonts"/>
    <w:uiPriority w:val="99"/>
    <w:semiHidden/>
    <w:rsid w:val="00137F01"/>
    <w:rPr>
      <w:color w:val="808080"/>
    </w:rPr>
  </w:style>
  <w:style w:type="paragraph" w:styleId="Prskatjums">
    <w:name w:val="Revision"/>
    <w:hidden/>
    <w:uiPriority w:val="99"/>
    <w:semiHidden/>
    <w:rsid w:val="00144BC7"/>
    <w:pPr>
      <w:spacing w:after="0" w:line="240" w:lineRule="auto"/>
    </w:pPr>
    <w:rPr>
      <w:rFonts w:eastAsia="SimSun" w:cs="F"/>
      <w:kern w:val="3"/>
      <w:szCs w:val="22"/>
      <w14:ligatures w14:val="none"/>
    </w:rPr>
  </w:style>
  <w:style w:type="character" w:customStyle="1" w:styleId="normaltextrun">
    <w:name w:val="normaltextrun"/>
    <w:basedOn w:val="Noklusjumarindkopasfonts"/>
    <w:uiPriority w:val="1"/>
    <w:rsid w:val="61EC34E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1629">
      <w:bodyDiv w:val="1"/>
      <w:marLeft w:val="0"/>
      <w:marRight w:val="0"/>
      <w:marTop w:val="0"/>
      <w:marBottom w:val="0"/>
      <w:divBdr>
        <w:top w:val="none" w:sz="0" w:space="0" w:color="auto"/>
        <w:left w:val="none" w:sz="0" w:space="0" w:color="auto"/>
        <w:bottom w:val="none" w:sz="0" w:space="0" w:color="auto"/>
        <w:right w:val="none" w:sz="0" w:space="0" w:color="auto"/>
      </w:divBdr>
    </w:div>
    <w:div w:id="542864309">
      <w:bodyDiv w:val="1"/>
      <w:marLeft w:val="0"/>
      <w:marRight w:val="0"/>
      <w:marTop w:val="0"/>
      <w:marBottom w:val="0"/>
      <w:divBdr>
        <w:top w:val="none" w:sz="0" w:space="0" w:color="auto"/>
        <w:left w:val="none" w:sz="0" w:space="0" w:color="auto"/>
        <w:bottom w:val="none" w:sz="0" w:space="0" w:color="auto"/>
        <w:right w:val="none" w:sz="0" w:space="0" w:color="auto"/>
      </w:divBdr>
    </w:div>
    <w:div w:id="1053652010">
      <w:bodyDiv w:val="1"/>
      <w:marLeft w:val="0"/>
      <w:marRight w:val="0"/>
      <w:marTop w:val="0"/>
      <w:marBottom w:val="0"/>
      <w:divBdr>
        <w:top w:val="none" w:sz="0" w:space="0" w:color="auto"/>
        <w:left w:val="none" w:sz="0" w:space="0" w:color="auto"/>
        <w:bottom w:val="none" w:sz="0" w:space="0" w:color="auto"/>
        <w:right w:val="none" w:sz="0" w:space="0" w:color="auto"/>
      </w:divBdr>
    </w:div>
    <w:div w:id="1861774723">
      <w:bodyDiv w:val="1"/>
      <w:marLeft w:val="0"/>
      <w:marRight w:val="0"/>
      <w:marTop w:val="0"/>
      <w:marBottom w:val="0"/>
      <w:divBdr>
        <w:top w:val="none" w:sz="0" w:space="0" w:color="auto"/>
        <w:left w:val="none" w:sz="0" w:space="0" w:color="auto"/>
        <w:bottom w:val="none" w:sz="0" w:space="0" w:color="auto"/>
        <w:right w:val="none" w:sz="0" w:space="0" w:color="auto"/>
      </w:divBdr>
    </w:div>
    <w:div w:id="18641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Vietturatekst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461358"/>
    <w:rsid w:val="00510407"/>
    <w:rsid w:val="00994E0D"/>
    <w:rsid w:val="009D1F18"/>
    <w:rsid w:val="009F2A87"/>
    <w:rsid w:val="00B4039D"/>
    <w:rsid w:val="00DD7863"/>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C9A64118-9F4C-417D-94C2-A0F05430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CB9BB-9941-4206-BD4A-B735E69BCF1D}">
  <ds:schemaRefs>
    <ds:schemaRef ds:uri="http://schemas.microsoft.com/sharepoint/v3/contenttype/forms"/>
  </ds:schemaRefs>
</ds:datastoreItem>
</file>

<file path=customXml/itemProps3.xml><?xml version="1.0" encoding="utf-8"?>
<ds:datastoreItem xmlns:ds="http://schemas.openxmlformats.org/officeDocument/2006/customXml" ds:itemID="{B54D563F-E015-46D0-ADFC-555C855FA7AD}">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32</TotalTime>
  <Pages>9</Pages>
  <Words>9543</Words>
  <Characters>5441</Characters>
  <Application>Microsoft Office Word</Application>
  <DocSecurity>0</DocSecurity>
  <Lines>45</Lines>
  <Paragraphs>29</Paragraphs>
  <ScaleCrop>false</ScaleCrop>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Andrelita Blusanoviča</cp:lastModifiedBy>
  <cp:revision>12</cp:revision>
  <dcterms:created xsi:type="dcterms:W3CDTF">2024-06-11T12:34:00Z</dcterms:created>
  <dcterms:modified xsi:type="dcterms:W3CDTF">2024-06-12T11:09:00Z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