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21D729" w14:textId="77777777" w:rsidR="006B42D9" w:rsidRDefault="00E94686">
      <w:pPr>
        <w:spacing w:before="180"/>
      </w:pPr>
      <w:r>
        <w:rPr>
          <w:b/>
          <w:sz w:val="32"/>
        </w:rPr>
        <w:t>1. Tiesību akta projekta izstrādes nepieciešamība</w:t>
      </w:r>
    </w:p>
    <w:p w14:paraId="25481D08" w14:textId="77777777" w:rsidR="006B42D9" w:rsidRDefault="00E94686">
      <w:pPr>
        <w:spacing w:before="90" w:after="90"/>
      </w:pPr>
      <w:r>
        <w:rPr>
          <w:b/>
        </w:rPr>
        <w:t>Anotācijas (</w:t>
      </w:r>
      <w:proofErr w:type="spellStart"/>
      <w:r>
        <w:rPr>
          <w:b/>
        </w:rPr>
        <w:t>ex-ante)</w:t>
      </w:r>
      <w:proofErr w:type="spellEnd"/>
      <w:r>
        <w:rPr>
          <w:b/>
        </w:rPr>
        <w:t xml:space="preserve"> nosaukums</w:t>
      </w:r>
    </w:p>
    <w:p w14:paraId="5A8E8D47" w14:textId="7235AC96" w:rsidR="006B42D9" w:rsidRDefault="00E94686">
      <w:r>
        <w:t xml:space="preserve">Tiesību akta projekta "Eiropas Savienības kohēzijas politikas programmas 2021.-2027. gadam 4.3.4. specifiskā atbalsta mērķa "Sekmēt aktīvu iekļaušanu, lai veicinātu vienlīdzīgas iespējas, nediskriminēšanu un aktīvu līdzdalību, kā arī uzlabotu </w:t>
      </w:r>
      <w:proofErr w:type="spellStart"/>
      <w:r>
        <w:t>nodarbināmību</w:t>
      </w:r>
      <w:proofErr w:type="spellEnd"/>
      <w:r>
        <w:t>, jo īpaši attiecībā uz nelabvēlīgā situācijā esošām grupām" 4.3.4.</w:t>
      </w:r>
      <w:r w:rsidR="00F809EB">
        <w:t>9</w:t>
      </w:r>
      <w:r>
        <w:t>. pasākuma "</w:t>
      </w:r>
      <w:r w:rsidR="00F809EB" w:rsidRPr="00987BB7">
        <w:t xml:space="preserve">Sabiedrības saliedēšana, veicinot sabiedrības </w:t>
      </w:r>
      <w:proofErr w:type="spellStart"/>
      <w:r w:rsidR="00F809EB" w:rsidRPr="00987BB7">
        <w:t>pašorganizēšanos</w:t>
      </w:r>
      <w:proofErr w:type="spellEnd"/>
      <w:r w:rsidR="00F809EB" w:rsidRPr="00987BB7">
        <w:t xml:space="preserve"> un paplašinot sadarbības un līdzdarbības prasmes un iespējas</w:t>
      </w:r>
      <w:r>
        <w:t>" īstenošanas noteikumi" sākotnējās ietekmes (</w:t>
      </w:r>
      <w:proofErr w:type="spellStart"/>
      <w:r>
        <w:t>ex-ante)</w:t>
      </w:r>
      <w:proofErr w:type="spellEnd"/>
      <w:r>
        <w:t xml:space="preserve"> novērtējuma ziņojums (anotācija)</w:t>
      </w:r>
    </w:p>
    <w:p w14:paraId="29CEC0AD" w14:textId="77777777" w:rsidR="006B42D9" w:rsidRDefault="00E94686">
      <w:pPr>
        <w:spacing w:before="270" w:after="180"/>
      </w:pPr>
      <w:r>
        <w:rPr>
          <w:b/>
          <w:sz w:val="30"/>
        </w:rPr>
        <w:t>1.1. Pamatojums</w:t>
      </w:r>
    </w:p>
    <w:p w14:paraId="7BC26531" w14:textId="77777777" w:rsidR="006B42D9" w:rsidRDefault="00E94686">
      <w:pPr>
        <w:spacing w:before="90" w:after="90"/>
      </w:pPr>
      <w:r>
        <w:rPr>
          <w:b/>
        </w:rPr>
        <w:t>Izstrādes pamatojums</w:t>
      </w:r>
    </w:p>
    <w:p w14:paraId="6BB0F96A" w14:textId="77777777" w:rsidR="006B42D9" w:rsidRDefault="00E94686">
      <w:r>
        <w:t>Ministrijas / iestādes iniciatīva</w:t>
      </w:r>
    </w:p>
    <w:p w14:paraId="7F5D5802" w14:textId="77777777" w:rsidR="006B42D9" w:rsidRDefault="00E94686">
      <w:pPr>
        <w:spacing w:before="90" w:after="90"/>
      </w:pPr>
      <w:r>
        <w:rPr>
          <w:b/>
        </w:rPr>
        <w:t>Apraksts</w:t>
      </w:r>
    </w:p>
    <w:p w14:paraId="3B063259" w14:textId="58B40592" w:rsidR="006B42D9" w:rsidRDefault="00E94686">
      <w:r>
        <w:t xml:space="preserve">Ministru kabineta noteikumu projekts “Eiropas Savienības kohēzijas politikas programmas 2021.-2027. gadam 4.3.4. specifiskā atbalsta mērķa “Sekmēt aktīvu iekļaušanu, lai veicinātu vienlīdzīgas iespējas, nediskriminēšanu un aktīvu līdzdalību, kā arī uzlabotu </w:t>
      </w:r>
      <w:proofErr w:type="spellStart"/>
      <w:r>
        <w:t>nodarbināmību</w:t>
      </w:r>
      <w:proofErr w:type="spellEnd"/>
      <w:r>
        <w:t>, jo īpaši attiecībā uz nelabvēlīgā situācijā esošām grupām” 4.3.4.</w:t>
      </w:r>
      <w:r w:rsidR="00F809EB">
        <w:t>9</w:t>
      </w:r>
      <w:r>
        <w:t>. pasākuma “</w:t>
      </w:r>
      <w:r w:rsidR="00F809EB" w:rsidRPr="00987BB7">
        <w:t xml:space="preserve">Sabiedrības saliedēšana, veicinot sabiedrības </w:t>
      </w:r>
      <w:proofErr w:type="spellStart"/>
      <w:r w:rsidR="00F809EB" w:rsidRPr="00987BB7">
        <w:t>pašorganizēšanos</w:t>
      </w:r>
      <w:proofErr w:type="spellEnd"/>
      <w:r w:rsidR="00F809EB" w:rsidRPr="00987BB7">
        <w:t xml:space="preserve"> un paplašinot sadarbības un līdzdarbības prasmes un iespējas</w:t>
      </w:r>
      <w:r>
        <w:t>” īstenošanas noteikumi” (turpmāk – Projekts) sagatavots, pamatojoties uz Eiropas Savienības fondu 2021.-2027. gada plānošanas perioda vadības likuma 19. panta 6. un 13. punktu.</w:t>
      </w:r>
    </w:p>
    <w:p w14:paraId="77C65047" w14:textId="77777777" w:rsidR="006B42D9" w:rsidRDefault="00E94686">
      <w:pPr>
        <w:spacing w:before="270" w:after="180"/>
      </w:pPr>
      <w:r>
        <w:rPr>
          <w:b/>
          <w:sz w:val="30"/>
        </w:rPr>
        <w:t>1.2. Mērķis</w:t>
      </w:r>
    </w:p>
    <w:p w14:paraId="777BE0FD" w14:textId="1598C1D3" w:rsidR="00627ADB" w:rsidRDefault="00E94686" w:rsidP="00D56E64">
      <w:pPr>
        <w:spacing w:before="90" w:after="90"/>
      </w:pPr>
      <w:r>
        <w:rPr>
          <w:b/>
        </w:rPr>
        <w:t>Mērķa apraksts</w:t>
      </w:r>
      <w:bookmarkStart w:id="0" w:name="_Hlk163823117"/>
    </w:p>
    <w:p w14:paraId="17A93C01" w14:textId="79D4449C" w:rsidR="006B42D9" w:rsidRDefault="00E94686" w:rsidP="00627ADB">
      <w:pPr>
        <w:widowControl w:val="0"/>
      </w:pPr>
      <w:r>
        <w:t>Projekta mērķis ir noteikt kārtību, kādā tiek īstenots Eiropas Savienības kohēzijas politikas programmas 2021.-2027. gadam 4.3.4.</w:t>
      </w:r>
      <w:r w:rsidR="00F809EB">
        <w:t>9</w:t>
      </w:r>
      <w:r>
        <w:t>. pasākums “</w:t>
      </w:r>
      <w:r w:rsidR="00F809EB" w:rsidRPr="00987BB7">
        <w:t xml:space="preserve">Sabiedrības saliedēšana, veicinot sabiedrības </w:t>
      </w:r>
      <w:proofErr w:type="spellStart"/>
      <w:r w:rsidR="00F809EB" w:rsidRPr="00987BB7">
        <w:t>pašorganizēšanos</w:t>
      </w:r>
      <w:proofErr w:type="spellEnd"/>
      <w:r w:rsidR="00F809EB" w:rsidRPr="00987BB7">
        <w:t xml:space="preserve"> un paplašinot sadarbības un līdzdarbības prasmes un iespējas</w:t>
      </w:r>
      <w:r>
        <w:t>” (turpmāk – 4.3.4.</w:t>
      </w:r>
      <w:r w:rsidR="00F809EB">
        <w:t>9</w:t>
      </w:r>
      <w:r>
        <w:t>. pasākums).</w:t>
      </w:r>
    </w:p>
    <w:bookmarkEnd w:id="0"/>
    <w:p w14:paraId="526FC36F" w14:textId="77777777" w:rsidR="006B42D9" w:rsidRDefault="00E94686">
      <w:pPr>
        <w:spacing w:before="90" w:after="90"/>
      </w:pPr>
      <w:r>
        <w:rPr>
          <w:b/>
        </w:rPr>
        <w:t>Spēkā stāšanās termiņš</w:t>
      </w:r>
    </w:p>
    <w:p w14:paraId="24A967B2" w14:textId="77777777" w:rsidR="006B42D9" w:rsidRDefault="00E94686">
      <w:r>
        <w:t>Vispārējā kārtība</w:t>
      </w:r>
    </w:p>
    <w:p w14:paraId="11FBE07F" w14:textId="77777777" w:rsidR="006B42D9" w:rsidRDefault="00E94686">
      <w:pPr>
        <w:spacing w:before="270" w:after="180"/>
      </w:pPr>
      <w:r>
        <w:rPr>
          <w:b/>
          <w:sz w:val="30"/>
        </w:rPr>
        <w:t>1.3. Pašreizējā situācija, problēmas un risinājumi</w:t>
      </w:r>
    </w:p>
    <w:p w14:paraId="06E030E5" w14:textId="77777777" w:rsidR="006B42D9" w:rsidRDefault="00E94686">
      <w:pPr>
        <w:spacing w:before="90" w:after="90"/>
      </w:pPr>
      <w:r>
        <w:rPr>
          <w:b/>
        </w:rPr>
        <w:t>Pašreizējā situācija</w:t>
      </w:r>
    </w:p>
    <w:p w14:paraId="375DE4FA" w14:textId="28260FFB" w:rsidR="002958B8" w:rsidRDefault="002958B8" w:rsidP="001B4674">
      <w:pPr>
        <w:rPr>
          <w:color w:val="000000" w:themeColor="text1"/>
        </w:rPr>
      </w:pPr>
    </w:p>
    <w:p w14:paraId="21BFAA53" w14:textId="77777777" w:rsidR="00465C85" w:rsidRDefault="00465C85" w:rsidP="00465C85">
      <w:r>
        <w:t>2016. gadā Latvija kļuva par pilntiesīgu Ekonomiskās sadarbības un attīstības organizācijas dalībvalsti (</w:t>
      </w:r>
      <w:proofErr w:type="spellStart"/>
      <w:r>
        <w:rPr>
          <w:i/>
        </w:rPr>
        <w:t>Organization</w:t>
      </w:r>
      <w:proofErr w:type="spellEnd"/>
      <w:r>
        <w:rPr>
          <w:i/>
        </w:rPr>
        <w:t xml:space="preserve"> </w:t>
      </w:r>
      <w:proofErr w:type="spellStart"/>
      <w:r>
        <w:rPr>
          <w:i/>
        </w:rPr>
        <w:t>for</w:t>
      </w:r>
      <w:proofErr w:type="spellEnd"/>
      <w:r>
        <w:rPr>
          <w:i/>
        </w:rPr>
        <w:t xml:space="preserve"> </w:t>
      </w:r>
      <w:proofErr w:type="spellStart"/>
      <w:r>
        <w:rPr>
          <w:i/>
        </w:rPr>
        <w:t>Economic</w:t>
      </w:r>
      <w:proofErr w:type="spellEnd"/>
      <w:r>
        <w:rPr>
          <w:i/>
        </w:rPr>
        <w:t xml:space="preserve"> Co-</w:t>
      </w:r>
      <w:proofErr w:type="spellStart"/>
      <w:r>
        <w:rPr>
          <w:i/>
        </w:rPr>
        <w:t>operation</w:t>
      </w:r>
      <w:proofErr w:type="spellEnd"/>
      <w:r>
        <w:rPr>
          <w:i/>
        </w:rPr>
        <w:t xml:space="preserve"> </w:t>
      </w:r>
      <w:proofErr w:type="spellStart"/>
      <w:r>
        <w:rPr>
          <w:i/>
        </w:rPr>
        <w:t>and</w:t>
      </w:r>
      <w:proofErr w:type="spellEnd"/>
      <w:r>
        <w:rPr>
          <w:i/>
        </w:rPr>
        <w:t xml:space="preserve"> </w:t>
      </w:r>
      <w:proofErr w:type="spellStart"/>
      <w:r>
        <w:rPr>
          <w:i/>
        </w:rPr>
        <w:t>Development</w:t>
      </w:r>
      <w:proofErr w:type="spellEnd"/>
      <w:r>
        <w:t xml:space="preserve">). Ekonomiskās sadarbības un attīstības organizācija definē, ka saliedēta sabiedrība ir </w:t>
      </w:r>
      <w:r>
        <w:lastRenderedPageBreak/>
        <w:t>sabiedrība, kas darbojas visu sabiedrības locekļu labklājībai, cīnās pret sociālo atstumtību, veido piederības sajūtu, veicina uzticēšanos un nodrošina tās locekļiem augšupejošu sociālo mobilitāti jeb līdzdalības un rīcības iespēju paaugstināšanos neatkarīgi no sociālā statusa. </w:t>
      </w:r>
    </w:p>
    <w:p w14:paraId="50F60087" w14:textId="77777777" w:rsidR="00465C85" w:rsidRDefault="00465C85" w:rsidP="00465C85">
      <w:r>
        <w:t> </w:t>
      </w:r>
    </w:p>
    <w:p w14:paraId="161BFCFF" w14:textId="6E682869" w:rsidR="00621E68" w:rsidRDefault="00621E68" w:rsidP="00A95DAD">
      <w:pPr>
        <w:rPr>
          <w:color w:val="000000" w:themeColor="text1"/>
        </w:rPr>
      </w:pPr>
      <w:r w:rsidRPr="00923F28">
        <w:rPr>
          <w:color w:val="000000" w:themeColor="text1"/>
        </w:rPr>
        <w:t>Latvijas Nacionāl</w:t>
      </w:r>
      <w:r>
        <w:rPr>
          <w:color w:val="000000" w:themeColor="text1"/>
        </w:rPr>
        <w:t>ā</w:t>
      </w:r>
      <w:r w:rsidRPr="00923F28">
        <w:rPr>
          <w:color w:val="000000" w:themeColor="text1"/>
        </w:rPr>
        <w:t xml:space="preserve"> attīstības plān</w:t>
      </w:r>
      <w:r>
        <w:rPr>
          <w:color w:val="000000" w:themeColor="text1"/>
        </w:rPr>
        <w:t>a</w:t>
      </w:r>
      <w:r w:rsidRPr="00923F28">
        <w:rPr>
          <w:color w:val="000000" w:themeColor="text1"/>
        </w:rPr>
        <w:t xml:space="preserve"> 2021.-2027. gadam (apstiprināts Saeimas 2020. gada 2. jūlija sēdē) (turpmāk – NAP2027) </w:t>
      </w:r>
      <w:r w:rsidRPr="00923F28">
        <w:rPr>
          <w:color w:val="000000" w:themeColor="text1"/>
          <w:szCs w:val="28"/>
        </w:rPr>
        <w:t xml:space="preserve">prioritātes </w:t>
      </w:r>
      <w:r w:rsidRPr="00923F28">
        <w:rPr>
          <w:color w:val="000000" w:themeColor="text1"/>
        </w:rPr>
        <w:t>“</w:t>
      </w:r>
      <w:r w:rsidRPr="00621E68">
        <w:rPr>
          <w:color w:val="000000" w:themeColor="text1"/>
          <w:szCs w:val="28"/>
        </w:rPr>
        <w:t>Vienota, droša un atvērta sabiedrība</w:t>
      </w:r>
      <w:r w:rsidRPr="00923F28">
        <w:rPr>
          <w:color w:val="000000" w:themeColor="text1"/>
          <w:szCs w:val="28"/>
        </w:rPr>
        <w:t xml:space="preserve">” </w:t>
      </w:r>
      <w:r w:rsidRPr="008E3FBC">
        <w:rPr>
          <w:color w:val="000000" w:themeColor="text1"/>
        </w:rPr>
        <w:t>3</w:t>
      </w:r>
      <w:r w:rsidR="00911D73" w:rsidRPr="008E3FBC">
        <w:rPr>
          <w:color w:val="000000" w:themeColor="text1"/>
        </w:rPr>
        <w:t>8</w:t>
      </w:r>
      <w:r w:rsidRPr="008E3FBC">
        <w:rPr>
          <w:color w:val="000000" w:themeColor="text1"/>
        </w:rPr>
        <w:t>6. mērķ</w:t>
      </w:r>
      <w:r w:rsidR="008E3FBC" w:rsidRPr="008E3FBC">
        <w:rPr>
          <w:color w:val="000000" w:themeColor="text1"/>
        </w:rPr>
        <w:t>is</w:t>
      </w:r>
      <w:r w:rsidR="008E3FBC">
        <w:rPr>
          <w:color w:val="000000" w:themeColor="text1"/>
        </w:rPr>
        <w:t xml:space="preserve"> </w:t>
      </w:r>
      <w:r w:rsidRPr="008E3FBC">
        <w:rPr>
          <w:color w:val="000000" w:themeColor="text1"/>
        </w:rPr>
        <w:t>“</w:t>
      </w:r>
      <w:r w:rsidR="00911D73" w:rsidRPr="008E3FBC">
        <w:rPr>
          <w:color w:val="000000" w:themeColor="text1"/>
        </w:rPr>
        <w:t>Pieaug iedzīvotāju īpatsvars, kas izjūt piederību un uzticas Latvijas sabiedrībai un tiesiskai valstij. Tāpēc cilvēki sniedz ieguldījumu savā, savu līdzcilvēku un valsts drošībā, labklājībā un attīstībā, mazinās negodīga rīcība. Cilvēki apzinās Latvijas un ikviena iedzīvotāja lomu globālajos procesos un ir atvērti sadarbībai kopēju izaicinājumu risināšanā. Latvija ir droša un tiesiska valsts. Droša valsts vide kalpo par pamatu labklājībai un attīstībai</w:t>
      </w:r>
      <w:r w:rsidRPr="008E3FBC">
        <w:rPr>
          <w:color w:val="000000" w:themeColor="text1"/>
        </w:rPr>
        <w:t xml:space="preserve">” </w:t>
      </w:r>
      <w:r w:rsidR="008E3FBC" w:rsidRPr="008E3FBC">
        <w:rPr>
          <w:color w:val="000000" w:themeColor="text1"/>
        </w:rPr>
        <w:t xml:space="preserve">nosaka </w:t>
      </w:r>
      <w:r w:rsidR="00A95DAD" w:rsidRPr="008E3FBC">
        <w:rPr>
          <w:color w:val="000000" w:themeColor="text1"/>
        </w:rPr>
        <w:t>407. uzdevum</w:t>
      </w:r>
      <w:r w:rsidR="008E3FBC" w:rsidRPr="008E3FBC">
        <w:rPr>
          <w:color w:val="000000" w:themeColor="text1"/>
        </w:rPr>
        <w:t>u</w:t>
      </w:r>
      <w:r w:rsidR="00A95DAD" w:rsidRPr="008E3FBC">
        <w:rPr>
          <w:color w:val="000000" w:themeColor="text1"/>
        </w:rPr>
        <w:t xml:space="preserve"> </w:t>
      </w:r>
      <w:r w:rsidRPr="008E3FBC">
        <w:rPr>
          <w:color w:val="000000" w:themeColor="text1"/>
        </w:rPr>
        <w:t>“</w:t>
      </w:r>
      <w:r w:rsidR="00A95DAD" w:rsidRPr="008E3FBC">
        <w:rPr>
          <w:color w:val="000000" w:themeColor="text1"/>
        </w:rPr>
        <w:t>Sabiedrības</w:t>
      </w:r>
      <w:r w:rsidR="00A95DAD" w:rsidRPr="00A95DAD">
        <w:rPr>
          <w:color w:val="000000" w:themeColor="text1"/>
        </w:rPr>
        <w:t xml:space="preserve"> pašorganizēšanās,</w:t>
      </w:r>
      <w:r w:rsidR="00A95DAD">
        <w:rPr>
          <w:color w:val="000000" w:themeColor="text1"/>
        </w:rPr>
        <w:t xml:space="preserve"> </w:t>
      </w:r>
      <w:r w:rsidR="00A95DAD" w:rsidRPr="00A95DAD">
        <w:rPr>
          <w:color w:val="000000" w:themeColor="text1"/>
        </w:rPr>
        <w:t>sadarbības un līdzdarbības</w:t>
      </w:r>
      <w:r w:rsidR="00A95DAD">
        <w:rPr>
          <w:color w:val="000000" w:themeColor="text1"/>
        </w:rPr>
        <w:t xml:space="preserve"> </w:t>
      </w:r>
      <w:r w:rsidR="00A95DAD" w:rsidRPr="00A95DAD">
        <w:rPr>
          <w:color w:val="000000" w:themeColor="text1"/>
        </w:rPr>
        <w:t>prasmju un iespēju paplašināšana,</w:t>
      </w:r>
      <w:r w:rsidR="00A95DAD">
        <w:rPr>
          <w:color w:val="000000" w:themeColor="text1"/>
        </w:rPr>
        <w:t xml:space="preserve"> </w:t>
      </w:r>
      <w:r w:rsidR="00A95DAD" w:rsidRPr="00A95DAD">
        <w:rPr>
          <w:color w:val="000000" w:themeColor="text1"/>
        </w:rPr>
        <w:t>jo īpaši attīstot jauniešu pilsonisko</w:t>
      </w:r>
      <w:r w:rsidR="00A95DAD">
        <w:rPr>
          <w:color w:val="000000" w:themeColor="text1"/>
        </w:rPr>
        <w:t xml:space="preserve"> </w:t>
      </w:r>
      <w:r w:rsidR="00A95DAD" w:rsidRPr="00A95DAD">
        <w:rPr>
          <w:color w:val="000000" w:themeColor="text1"/>
        </w:rPr>
        <w:t>izglītību, iedzīvotāju līdzdarbību</w:t>
      </w:r>
      <w:r w:rsidR="00A95DAD">
        <w:rPr>
          <w:color w:val="000000" w:themeColor="text1"/>
        </w:rPr>
        <w:t xml:space="preserve"> </w:t>
      </w:r>
      <w:r w:rsidR="00A95DAD" w:rsidRPr="00A95DAD">
        <w:rPr>
          <w:color w:val="000000" w:themeColor="text1"/>
        </w:rPr>
        <w:t>nevalstiskajās organizācijās,</w:t>
      </w:r>
      <w:r w:rsidR="00A95DAD">
        <w:rPr>
          <w:color w:val="000000" w:themeColor="text1"/>
        </w:rPr>
        <w:t xml:space="preserve"> </w:t>
      </w:r>
      <w:r w:rsidR="00A95DAD" w:rsidRPr="00A95DAD">
        <w:rPr>
          <w:color w:val="000000" w:themeColor="text1"/>
        </w:rPr>
        <w:t>arodbiedrībās un brīvprātīgajā</w:t>
      </w:r>
      <w:r w:rsidR="00A95DAD">
        <w:rPr>
          <w:color w:val="000000" w:themeColor="text1"/>
        </w:rPr>
        <w:t xml:space="preserve"> </w:t>
      </w:r>
      <w:r w:rsidR="00A95DAD" w:rsidRPr="00A95DAD">
        <w:rPr>
          <w:color w:val="000000" w:themeColor="text1"/>
        </w:rPr>
        <w:t>darbā, valsts NVO fondu</w:t>
      </w:r>
      <w:r w:rsidRPr="00A95DAD">
        <w:rPr>
          <w:color w:val="000000" w:themeColor="text1"/>
        </w:rPr>
        <w:t>”.</w:t>
      </w:r>
    </w:p>
    <w:p w14:paraId="2A895F30" w14:textId="77777777" w:rsidR="008E3FBC" w:rsidRDefault="008E3FBC" w:rsidP="00A95DAD">
      <w:pPr>
        <w:rPr>
          <w:color w:val="000000" w:themeColor="text1"/>
        </w:rPr>
      </w:pPr>
    </w:p>
    <w:p w14:paraId="3DAB513F" w14:textId="77777777" w:rsidR="006B42D9" w:rsidRDefault="00E94686">
      <w:pPr>
        <w:spacing w:before="90" w:after="90"/>
      </w:pPr>
      <w:r>
        <w:rPr>
          <w:b/>
        </w:rPr>
        <w:t>Problēmas un risinājumi</w:t>
      </w:r>
    </w:p>
    <w:p w14:paraId="7058C56F" w14:textId="77777777" w:rsidR="006B42D9" w:rsidRDefault="00E94686">
      <w:pPr>
        <w:spacing w:before="90" w:after="90"/>
        <w:rPr>
          <w:b/>
        </w:rPr>
      </w:pPr>
      <w:r>
        <w:rPr>
          <w:b/>
        </w:rPr>
        <w:t>Problēmas apraksts</w:t>
      </w:r>
    </w:p>
    <w:p w14:paraId="3C10586C" w14:textId="35134E00" w:rsidR="00465C85" w:rsidRPr="00190176" w:rsidRDefault="00190176" w:rsidP="00190176">
      <w:r>
        <w:t xml:space="preserve">Nacionālā attīstības plāna 2014.-2020. gadam </w:t>
      </w:r>
      <w:proofErr w:type="spellStart"/>
      <w:r>
        <w:t>vidustermiņa</w:t>
      </w:r>
      <w:proofErr w:type="spellEnd"/>
      <w:r>
        <w:t xml:space="preserve"> izvērtējums parādīja, ka nozīmīgs šķērslis pilsoniskajai līdzdalībai ir iedzīvotāju līdzdalības iespēju nevienlīdzība, kas saistīta ar nepietiekamām valsts valodas zināšanām, teritoriālu un informatīvu nošķirtību, fiziskiem vai veselības traucējumiem, kā arī ar sociālekonomisko nevienlīdzību. </w:t>
      </w:r>
    </w:p>
    <w:p w14:paraId="74026081" w14:textId="77777777" w:rsidR="00190176" w:rsidRDefault="00190176" w:rsidP="00465C85">
      <w:pPr>
        <w:rPr>
          <w:color w:val="000000" w:themeColor="text1"/>
        </w:rPr>
      </w:pPr>
    </w:p>
    <w:p w14:paraId="7191E02A" w14:textId="74ED65D0" w:rsidR="00465C85" w:rsidRDefault="00465C85" w:rsidP="00465C85">
      <w:pPr>
        <w:rPr>
          <w:color w:val="000000" w:themeColor="text1"/>
        </w:rPr>
      </w:pPr>
      <w:r w:rsidRPr="001B4674">
        <w:rPr>
          <w:color w:val="000000" w:themeColor="text1"/>
        </w:rPr>
        <w:t>Latvijā ir viens no augstākajiem ienākumu nevienlīdzības rādītājiem E</w:t>
      </w:r>
      <w:r>
        <w:rPr>
          <w:color w:val="000000" w:themeColor="text1"/>
        </w:rPr>
        <w:t xml:space="preserve">iropas </w:t>
      </w:r>
      <w:r w:rsidRPr="001B4674">
        <w:rPr>
          <w:color w:val="000000" w:themeColor="text1"/>
        </w:rPr>
        <w:t>S</w:t>
      </w:r>
      <w:r>
        <w:rPr>
          <w:color w:val="000000" w:themeColor="text1"/>
        </w:rPr>
        <w:t>avienībā</w:t>
      </w:r>
      <w:r w:rsidRPr="001B4674">
        <w:rPr>
          <w:color w:val="000000" w:themeColor="text1"/>
        </w:rPr>
        <w:t>. 2019.</w:t>
      </w:r>
      <w:r>
        <w:rPr>
          <w:color w:val="000000" w:themeColor="text1"/>
        </w:rPr>
        <w:t> gadā</w:t>
      </w:r>
      <w:r w:rsidRPr="001B4674">
        <w:rPr>
          <w:color w:val="000000" w:themeColor="text1"/>
        </w:rPr>
        <w:t xml:space="preserve"> nabadzības vai sociālās atstumtības</w:t>
      </w:r>
      <w:r>
        <w:rPr>
          <w:color w:val="000000" w:themeColor="text1"/>
        </w:rPr>
        <w:t xml:space="preserve"> riskam pakļauti </w:t>
      </w:r>
      <w:r w:rsidRPr="001B4674">
        <w:rPr>
          <w:color w:val="000000" w:themeColor="text1"/>
        </w:rPr>
        <w:t>29,6% sieviešu un 24,6% vīriešu. Personas ar invaliditāti skar sociālā atstumtība, diskriminācija, ir negatīva pieredze</w:t>
      </w:r>
      <w:r>
        <w:rPr>
          <w:color w:val="000000" w:themeColor="text1"/>
        </w:rPr>
        <w:t xml:space="preserve"> </w:t>
      </w:r>
      <w:r w:rsidRPr="001B4674">
        <w:rPr>
          <w:color w:val="000000" w:themeColor="text1"/>
        </w:rPr>
        <w:t>ar dažādu pakalpojumu saņemšanu. Invaliditātes pensijas saņēmēji vecumā 18-24 gadi (33%), pakļauti augstam</w:t>
      </w:r>
      <w:r>
        <w:rPr>
          <w:color w:val="000000" w:themeColor="text1"/>
        </w:rPr>
        <w:t xml:space="preserve"> </w:t>
      </w:r>
      <w:r w:rsidRPr="001B4674">
        <w:rPr>
          <w:color w:val="000000" w:themeColor="text1"/>
        </w:rPr>
        <w:t>nabadzības riskam. Ilgstoša bezdarba, neveiksmīga darba meklēšanas pieredze 50+ gadu vecumā rada depresīvu sajūtu,</w:t>
      </w:r>
      <w:r>
        <w:rPr>
          <w:color w:val="000000" w:themeColor="text1"/>
        </w:rPr>
        <w:t xml:space="preserve"> </w:t>
      </w:r>
      <w:r w:rsidRPr="001B4674">
        <w:rPr>
          <w:color w:val="000000" w:themeColor="text1"/>
        </w:rPr>
        <w:t xml:space="preserve">veicina pašizolēšanos un </w:t>
      </w:r>
      <w:proofErr w:type="spellStart"/>
      <w:r w:rsidRPr="001B4674">
        <w:rPr>
          <w:color w:val="000000" w:themeColor="text1"/>
        </w:rPr>
        <w:t>pašdiskrimināciju</w:t>
      </w:r>
      <w:proofErr w:type="spellEnd"/>
      <w:r w:rsidRPr="001B4674">
        <w:rPr>
          <w:color w:val="000000" w:themeColor="text1"/>
        </w:rPr>
        <w:t xml:space="preserve">. </w:t>
      </w:r>
    </w:p>
    <w:p w14:paraId="254C0CC0" w14:textId="77777777" w:rsidR="00465C85" w:rsidRDefault="00465C85" w:rsidP="007B3B8B">
      <w:pPr>
        <w:spacing w:before="90" w:after="90"/>
        <w:rPr>
          <w:highlight w:val="yellow"/>
        </w:rPr>
      </w:pPr>
    </w:p>
    <w:p w14:paraId="0FE1583C" w14:textId="5A1CFE13" w:rsidR="007B3B8B" w:rsidRPr="00D56E64" w:rsidRDefault="007B3B8B" w:rsidP="007B3B8B">
      <w:pPr>
        <w:spacing w:before="90" w:after="90"/>
      </w:pPr>
      <w:r w:rsidRPr="00D56E64">
        <w:t xml:space="preserve">Saskaņā ar Eirobarometra aptauju datiem Latvija ierindojas pēdējā vietā Eiropas Savienībā to iedzīvotāju īpatsvara ziņā, kas netic, ka valstī viņu balsij ir nozīme (71% no aptaujātajiem). 2021. gadā arī Ekonomiskās sadarbības un attīstības organizācija (OECD) īstenoja dalībvalstu, tai skaitā Latvijas, uzticēšanās pētījumu (OECD </w:t>
      </w:r>
      <w:proofErr w:type="spellStart"/>
      <w:r w:rsidRPr="00D56E64">
        <w:t>Trust</w:t>
      </w:r>
      <w:proofErr w:type="spellEnd"/>
      <w:r w:rsidRPr="00D56E64">
        <w:t xml:space="preserve"> </w:t>
      </w:r>
      <w:proofErr w:type="spellStart"/>
      <w:r w:rsidRPr="00D56E64">
        <w:t>Survey</w:t>
      </w:r>
      <w:proofErr w:type="spellEnd"/>
      <w:r w:rsidRPr="00D56E64">
        <w:t>). Starpvalstu mērogā tikai mazāk nekā viena trešdaļa aptaujāto uzskata, ka valdības attaisno viņu cerības uz pilsonisko līdzdalību, tomēr arī šajā pētījumā 22 iesaistīto valstu vidū Latvija ieņem pēdējo vietu – tikai 13,7% aptaujāto ir pārliecināti, ka valsts politiskā sistēma ļauj viņiem iesaistīties valdības lēmumu pieņemšanā.</w:t>
      </w:r>
    </w:p>
    <w:p w14:paraId="5302B87B" w14:textId="77777777" w:rsidR="007B3B8B" w:rsidRPr="00D56E64" w:rsidRDefault="007B3B8B" w:rsidP="007B3B8B">
      <w:pPr>
        <w:spacing w:before="90" w:after="90"/>
      </w:pPr>
    </w:p>
    <w:p w14:paraId="2A6C39DA" w14:textId="15D26124" w:rsidR="007B3B8B" w:rsidRPr="00D56E64" w:rsidRDefault="007B3B8B" w:rsidP="007B3B8B">
      <w:pPr>
        <w:spacing w:before="90" w:after="90"/>
      </w:pPr>
      <w:r w:rsidRPr="00D56E64">
        <w:t>Vienlaikus pēdējo trīs gadu periodā kopumā ir samazinājusies Latvijas iedzīvotāju sabiedriskā un pilsoniskā līdzdalība[1], kas lielā mērā skaidrojams ar Covid-19 izraisīto pandēmiju un tās sekām. Biedrību un nodibinājumu darbā iesaistīto īpatsvars krities no 3% līdz 2%. Nemainīgs un izteikti zems saglabājies vietējo kopienu aktivitātēs iesaistīto īpatsvars –</w:t>
      </w:r>
      <w:r w:rsidR="00A579DC" w:rsidRPr="00D56E64">
        <w:t xml:space="preserve"> </w:t>
      </w:r>
      <w:r w:rsidRPr="00D56E64">
        <w:t>5%.</w:t>
      </w:r>
    </w:p>
    <w:p w14:paraId="14F41AA4" w14:textId="77777777" w:rsidR="007B3B8B" w:rsidRPr="00D56E64" w:rsidRDefault="007B3B8B" w:rsidP="007B3B8B">
      <w:pPr>
        <w:spacing w:before="90" w:after="90"/>
      </w:pPr>
    </w:p>
    <w:p w14:paraId="773DE1BC" w14:textId="6B2B3890" w:rsidR="00465C85" w:rsidRDefault="007B3B8B" w:rsidP="007B3B8B">
      <w:pPr>
        <w:spacing w:before="90" w:after="90"/>
        <w:rPr>
          <w:strike/>
          <w:highlight w:val="yellow"/>
        </w:rPr>
      </w:pPr>
      <w:r w:rsidRPr="00D56E64">
        <w:t xml:space="preserve">Salīdzinot pēdējo trīs gadu datus par nevalstisko organizāciju (turpmāk – NVO) sektora visbiežāk nosauktajiem darbības šķēršļiem, novērojams, ka izteikti pieaudzis divu problēmu minēšanas biežums – par 13% pieaudzis to organizāciju īpatsvars, kas norāda uz cilvēkresursu trūkumu </w:t>
      </w:r>
      <w:proofErr w:type="gramStart"/>
      <w:r w:rsidRPr="00D56E64">
        <w:t>(</w:t>
      </w:r>
      <w:proofErr w:type="gramEnd"/>
      <w:r w:rsidRPr="00D56E64">
        <w:t>no 25% 2020. gadā līdz 38% 2022. gadā), un par 7% to īpatsvars, kas norāda uz neregulāru finansējumu (attiecīgi no 47% līdz 53%)[2]. Būtiskākās nepilnības cilvēkresursu jomā ir tieši algoto darbinieku aspektā un dažādu ekspertu un speciālistu pieejamībā. Savukārt biedrību un nodibinājumu finansiālā ilgtspēja ir vāja, jo liela daļa organizāciju ir atkarīgas no kāda viena finansējuma avota[3].</w:t>
      </w:r>
    </w:p>
    <w:p w14:paraId="41641B49" w14:textId="7A1F720C" w:rsidR="00465C85" w:rsidRDefault="00465C85" w:rsidP="00190176">
      <w:r>
        <w:t xml:space="preserve">Savukārt pētījumā “Nevalstisko organizāciju sektors Latgalē. Cik liels? Cik spēcīgs? Cik gatavs krīzēm?” secināts, ka nevalstisko organizāciju sektors Latgales reģionā ir visai noplicināts – administratīvā kapacitāte ir zema, vien 8% no visām nevalstiskajām </w:t>
      </w:r>
      <w:proofErr w:type="spellStart"/>
      <w:proofErr w:type="gramStart"/>
      <w:r>
        <w:t>organizacijām</w:t>
      </w:r>
      <w:proofErr w:type="spellEnd"/>
      <w:proofErr w:type="gramEnd"/>
      <w:r>
        <w:t xml:space="preserve"> ir spējīgas nodarbināt kaut vienu darbinieku, taču arī šādos gadījumos darbinieki ne vienmēr ir pastāvīgi nodarbināti. Pētījumā uzrunātie nevalstisko organizāciju pārstāvji atzina, ka nevalstisko organizāciju sektors Latgalē nav bijis </w:t>
      </w:r>
      <w:proofErr w:type="gramStart"/>
      <w:r>
        <w:t>aktīvs krīžu situācijas</w:t>
      </w:r>
      <w:proofErr w:type="gramEnd"/>
      <w:r>
        <w:t> – nevalstiskās organizācijas neiesaistījās palīdzības sniegšanā pandēmijas laikā un neiesaistījās aktivitātēs kara pirmajās dienās, kad Latvijā ieplūda daudz bēgļu no Ukrainas.</w:t>
      </w:r>
      <w:r w:rsidRPr="00A32E31">
        <w:t xml:space="preserve"> </w:t>
      </w:r>
      <w:r>
        <w:t xml:space="preserve">Balstoties uz </w:t>
      </w:r>
      <w:proofErr w:type="spellStart"/>
      <w:r>
        <w:t>fokusgrupu</w:t>
      </w:r>
      <w:proofErr w:type="spellEnd"/>
      <w:r>
        <w:t xml:space="preserve"> rezultātiem var secināt, ka nevalstisko organizāciju reaģētspēja krīzes sākumposmā ir ļoti zema. Vienlaikus pētījumā secināts, ka</w:t>
      </w:r>
      <w:r w:rsidR="003056C2">
        <w:t>,</w:t>
      </w:r>
      <w:r>
        <w:t xml:space="preserve"> lai arī kopumā nevalstisko organizāciju sektors Latgales reģionā šobrīd ir noplicināts, nevalstisko organizāciju aktīvisti </w:t>
      </w:r>
      <w:proofErr w:type="spellStart"/>
      <w:r>
        <w:t>fokusgrupās</w:t>
      </w:r>
      <w:proofErr w:type="spellEnd"/>
      <w:r>
        <w:t xml:space="preserve"> apliecina, ka viņiem ir augsta motivācija turpināt darboties nevalstisko organizāciju sektorā un viņi tic, ka dara sabiedrībai nozīmīgu darbu.</w:t>
      </w:r>
    </w:p>
    <w:p w14:paraId="3F219221" w14:textId="77777777" w:rsidR="00190176" w:rsidRPr="00190176" w:rsidRDefault="00190176" w:rsidP="00190176"/>
    <w:p w14:paraId="135BB063" w14:textId="0D89B268" w:rsidR="008E3FBC" w:rsidRDefault="008E3FBC" w:rsidP="008E3FBC">
      <w:r>
        <w:t xml:space="preserve">Latgalē reģistrētas aptuveni 7% no visām Latvijas biedrībām un nodibinājumiem jeb nedaudz virs 2 tūkst. </w:t>
      </w:r>
      <w:r w:rsidR="00190176">
        <w:t>Nevalstiskās organizācijas</w:t>
      </w:r>
      <w:r>
        <w:t xml:space="preserve"> un to blīvums visās deviņās pašvaldībās ir līdzīgi zems. No reģistrēto organizāciju skaita tādu, kuras faktiski darbojas, ir ievērojami mazāk. Pēc dažādiem </w:t>
      </w:r>
      <w:r w:rsidR="00190176">
        <w:t>nevalstisko organizāciju</w:t>
      </w:r>
      <w:r>
        <w:t xml:space="preserve"> raksturojošiem rādītājiem, teiktā intervijās un </w:t>
      </w:r>
      <w:proofErr w:type="spellStart"/>
      <w:r>
        <w:t>fokusgrupās</w:t>
      </w:r>
      <w:proofErr w:type="spellEnd"/>
      <w:r>
        <w:t xml:space="preserve"> var lēst, ka organizāciju skaits, kuras ikdienā vairāk vai mazāk aktīvi darbojas ir vismaz uz pusi mazāk nekā to, kas šobrīd reģistrējušas darbību Biedrību un nodibinājumu reģistrā un savu darbību nav likvidējušas. Tādēļ kopumā </w:t>
      </w:r>
      <w:r w:rsidR="00190176">
        <w:t>nevalstisko organizāciju</w:t>
      </w:r>
      <w:r>
        <w:t xml:space="preserve"> sektors no </w:t>
      </w:r>
      <w:r w:rsidR="00190176">
        <w:t>neva</w:t>
      </w:r>
      <w:r w:rsidR="003056C2">
        <w:t>ls</w:t>
      </w:r>
      <w:r w:rsidR="00190176">
        <w:t>ti</w:t>
      </w:r>
      <w:r w:rsidR="003056C2">
        <w:t>s</w:t>
      </w:r>
      <w:r w:rsidR="00190176">
        <w:t xml:space="preserve">ko organizāciju </w:t>
      </w:r>
      <w:r>
        <w:t>skaita viedokļa ir ļoti mazs</w:t>
      </w:r>
      <w:r w:rsidR="00190176">
        <w:t>.</w:t>
      </w:r>
    </w:p>
    <w:p w14:paraId="365F9D52" w14:textId="77777777" w:rsidR="007B3B8B" w:rsidRPr="007B3B8B" w:rsidRDefault="007B3B8B" w:rsidP="007B3B8B">
      <w:pPr>
        <w:spacing w:before="90" w:after="90"/>
        <w:rPr>
          <w:highlight w:val="yellow"/>
        </w:rPr>
      </w:pPr>
    </w:p>
    <w:p w14:paraId="0D2322D1" w14:textId="77777777" w:rsidR="007B3B8B" w:rsidRPr="00D56E64" w:rsidRDefault="007B3B8B" w:rsidP="007B3B8B">
      <w:pPr>
        <w:spacing w:before="90" w:after="90"/>
      </w:pPr>
      <w:r w:rsidRPr="00D56E64">
        <w:lastRenderedPageBreak/>
        <w:t>[1] Kultūras aktivitātes barometrs 2022. Kultūras patēriņa un līdzdalības ietekmes pētījums. Kultūras ministrija, Latvijas Kultūras akadēmija. Pieejams: https://www.km.gov.lv/lv/petijumi</w:t>
      </w:r>
    </w:p>
    <w:p w14:paraId="17FB5F1B" w14:textId="77777777" w:rsidR="007B3B8B" w:rsidRPr="00D56E64" w:rsidRDefault="007B3B8B" w:rsidP="007B3B8B">
      <w:pPr>
        <w:spacing w:before="90" w:after="90"/>
      </w:pPr>
      <w:r w:rsidRPr="00D56E64">
        <w:t>[2]Valsts budžeta finansētās programmas “NVO fonds” darbības (rezultātu un ieguldījuma) izvērtējuma rezultātu ziņojums 2022.</w:t>
      </w:r>
    </w:p>
    <w:p w14:paraId="217C449C" w14:textId="77777777" w:rsidR="007B3B8B" w:rsidRPr="00D56E64" w:rsidRDefault="007B3B8B" w:rsidP="007B3B8B">
      <w:pPr>
        <w:spacing w:before="90" w:after="90"/>
      </w:pPr>
      <w:r w:rsidRPr="00D56E64">
        <w:t>[3]Latvijas Pilsoniskās alianse, 2022. gada pētījums “Pilsoniskās sabiedrības organizāciju resursi: esošā situācija un vajadzības 2022” (406 respondenti). Pieejams:</w:t>
      </w:r>
    </w:p>
    <w:p w14:paraId="08489F80" w14:textId="3760D82F" w:rsidR="007B3B8B" w:rsidRDefault="007B3B8B" w:rsidP="007B3B8B">
      <w:pPr>
        <w:spacing w:before="90" w:after="90"/>
      </w:pPr>
      <w:r w:rsidRPr="00D56E64">
        <w:t>https://nvo.lv/uploads/pilsoniskas_sabiedribas_organizaciju_resursi_esosa_situacija_un_vajadzibas_2022946.pdf</w:t>
      </w:r>
      <w:proofErr w:type="gramStart"/>
      <w:r w:rsidRPr="00D56E64">
        <w:t xml:space="preserve"> .</w:t>
      </w:r>
      <w:proofErr w:type="gramEnd"/>
    </w:p>
    <w:p w14:paraId="188F1958" w14:textId="77777777" w:rsidR="006B42D9" w:rsidRDefault="00E94686">
      <w:pPr>
        <w:spacing w:before="90" w:after="90"/>
      </w:pPr>
      <w:r>
        <w:rPr>
          <w:b/>
        </w:rPr>
        <w:t>Risinājuma apraksts</w:t>
      </w:r>
    </w:p>
    <w:p w14:paraId="4D190BC5" w14:textId="77777777" w:rsidR="00465C85" w:rsidRDefault="00465C85" w:rsidP="00465C85"/>
    <w:p w14:paraId="419D12E2" w14:textId="77777777" w:rsidR="003056C2" w:rsidRDefault="00D84213" w:rsidP="00D84213">
      <w:r>
        <w:t xml:space="preserve">Eiropas Savienības kohēzijas politikas programmas 2021.-2027. gadam 4.3.4.9. pasākuma ietvaros atbalsts plānots sabiedrības </w:t>
      </w:r>
      <w:r w:rsidR="003056C2">
        <w:t xml:space="preserve">noturības spēju stiprināšanai, </w:t>
      </w:r>
      <w:r>
        <w:t xml:space="preserve">pašorganizēšanās, sadarbības un līdzdarbības prasmju paplašināšanai un iespēju veicināšanai, īpaši sabiedrības grupām ar zemu līdzdalības īpatsvaru – cilvēkiem ar zemiem ienākumiem, nepilsoņiem un krieviski runājošiem iedzīvotājiem, mazākumtautību, romu kopienas un diasporas pārstāvjiem. </w:t>
      </w:r>
    </w:p>
    <w:p w14:paraId="3926D43C" w14:textId="768DFA99" w:rsidR="00D84213" w:rsidRDefault="00D84213" w:rsidP="00D84213">
      <w:r>
        <w:t xml:space="preserve">Paredzēts īstenot sabiedrības līdzdalības pasākumus saliedētas un pilsoniski aktīvas sabiedrības attīstības veicināšanai, izpratnes veidošanai par kopējo labumu un iedzīvotāju atbildības izjūtas veicināšanai par līdzcilvēkiem, kā arī veicināt savstarpējo uzticēšanos starp dažādām sabiedrības grupām un solidaritāti. </w:t>
      </w:r>
      <w:r w:rsidR="003056C2">
        <w:t>Pasākuma ietvaros p</w:t>
      </w:r>
      <w:r>
        <w:t>lānots atbalsts Latvijas</w:t>
      </w:r>
      <w:r w:rsidR="003056C2">
        <w:t xml:space="preserve"> reģionu</w:t>
      </w:r>
      <w:proofErr w:type="gramStart"/>
      <w:r w:rsidR="003056C2">
        <w:t xml:space="preserve"> </w:t>
      </w:r>
      <w:r>
        <w:t xml:space="preserve"> </w:t>
      </w:r>
      <w:proofErr w:type="gramEnd"/>
      <w:r>
        <w:t>NVO</w:t>
      </w:r>
      <w:r w:rsidR="003056C2">
        <w:t xml:space="preserve"> un aktīvajiem iedzīvotājiem</w:t>
      </w:r>
      <w:r>
        <w:t xml:space="preserve">, </w:t>
      </w:r>
      <w:r w:rsidRPr="00CA46A3">
        <w:t>lai nodrošinātu to efektīvu un ilgtspējīgu darbību, izmantojot  un attīstot reģionālo NVO atbalsta centru potenciālu, ar mērķi attīstīt aktīvas un iekļaujošas līdzdalības tradīcijas, it īpaši vēršot uzmanību tādu risinājumu attīstībai, kas veicina mazaizsargātu vai sociālās atstumtības riskam pakļautu iedzīvotāju līdzdalību.</w:t>
      </w:r>
    </w:p>
    <w:p w14:paraId="650A78E1" w14:textId="77777777" w:rsidR="00D84213" w:rsidRDefault="00D84213" w:rsidP="00D84213"/>
    <w:p w14:paraId="1CCECE9C" w14:textId="21A8D545" w:rsidR="00D84213" w:rsidRDefault="00D84213" w:rsidP="00D84213">
      <w:r>
        <w:t>Eiropas Savienības un citos starptautiskos pētījumos sabiedrības saliedētība tiek saistīta ar kopības izjūtu, sabiedrības spēju atjaunoties un orientāciju uz kopīgu labumu. Sabiedrības saliedētība tiek cieši saistīta arī ar ekonomisko izaugsmi un valstu labklājību. </w:t>
      </w:r>
    </w:p>
    <w:p w14:paraId="44D8F264" w14:textId="77777777" w:rsidR="00D84213" w:rsidRDefault="00D84213" w:rsidP="00D84213">
      <w:r>
        <w:t> </w:t>
      </w:r>
    </w:p>
    <w:p w14:paraId="51D7B740" w14:textId="77777777" w:rsidR="00D84213" w:rsidRDefault="00D84213" w:rsidP="00D84213">
      <w:r>
        <w:t>Eiropas Savienības līmenī definētais saliedētas sabiedrības koncepts ietver trīs savstarpēji saistītas dimensijas: </w:t>
      </w:r>
    </w:p>
    <w:p w14:paraId="5B9DF2AE" w14:textId="6EF26254" w:rsidR="00D84213" w:rsidRDefault="00D84213" w:rsidP="00D84213">
      <w:r>
        <w:t xml:space="preserve">1. iedzīvotāju savstarpējās attiecības </w:t>
      </w:r>
      <w:r w:rsidR="00A579DC">
        <w:t>–</w:t>
      </w:r>
      <w:r>
        <w:t xml:space="preserve"> savstarpēja uzticēšanās, sociālo tīklu veidošanās, sabiedrības daudzveidības pieņemšana; </w:t>
      </w:r>
    </w:p>
    <w:p w14:paraId="5573F4A5" w14:textId="6CAB913A" w:rsidR="00D84213" w:rsidRDefault="00D84213" w:rsidP="00D84213">
      <w:r>
        <w:t xml:space="preserve">2. iesakņošanās jeb piederība </w:t>
      </w:r>
      <w:r w:rsidR="00A579DC">
        <w:t>–</w:t>
      </w:r>
      <w:r>
        <w:t xml:space="preserve"> ticība valsts institūcijām, taisnīguma izpratne un cieša saikne ar valsti; </w:t>
      </w:r>
    </w:p>
    <w:p w14:paraId="5C7D4C4F" w14:textId="526B7E5B" w:rsidR="00D84213" w:rsidRDefault="00D84213" w:rsidP="00D84213">
      <w:r>
        <w:t xml:space="preserve">3. izpratne par kopējo labumu </w:t>
      </w:r>
      <w:r w:rsidR="00A579DC">
        <w:t>–</w:t>
      </w:r>
      <w:r>
        <w:t xml:space="preserve"> iedzīvotāju atbildības izjūta par līdzcilvēkiem un vēlme palīdzēt jeb solidaritāte, cieņa pret vispārīgiem sabiedrības noteikumiem un pilsoniskā/politiskā līdzdalība. </w:t>
      </w:r>
    </w:p>
    <w:p w14:paraId="4DE561E4" w14:textId="77777777" w:rsidR="00D84213" w:rsidRPr="00465C85" w:rsidRDefault="00D84213" w:rsidP="00D84213">
      <w:r>
        <w:lastRenderedPageBreak/>
        <w:t> </w:t>
      </w:r>
    </w:p>
    <w:p w14:paraId="7DE0B953" w14:textId="77777777" w:rsidR="00CB4E08" w:rsidRDefault="00465C85" w:rsidP="00465C85">
      <w:r>
        <w:t>Pētījumā “Nevalstisko organizāciju sektors Latgalē. Cik liels? Cik spēcīgs? Cik gatavs krīzēm?” secināts, ka Krievijas uzsāktais pilna mēroga karš Ukrainā parāda, cik liela slodze uz sabiedrības drošību, civilo aizsardzību, kā arī humānās palīdzības sniegšanu ir vietējām pašvaldībām. Šī pieredze parāda, ka vietējām pašvaldībām ir vajadzīgas atbalsta rokas no vietējām kopienām. Pieredze parāda, ka darbs ar vietējo kopienu aktivizēšanu ilgtermiņā ir nozīmīgs ieguldījums, kas padara vietējās kopienas noturīgākas pret dažāda veida krīzēm.</w:t>
      </w:r>
      <w:r>
        <w:rPr>
          <w:color w:val="000000" w:themeColor="text1"/>
        </w:rPr>
        <w:t xml:space="preserve"> </w:t>
      </w:r>
      <w:r>
        <w:t xml:space="preserve">Krīžu gadījumā atbildīgo institūciju spējas, gatavība rīkoties ir izšķiroši svarīga, taču būtisks tās elements ir arī vietējās kopienas noturības spēja. </w:t>
      </w:r>
    </w:p>
    <w:p w14:paraId="1412C79E" w14:textId="49E9E7BE" w:rsidR="00465C85" w:rsidRDefault="00465C85" w:rsidP="00465C85">
      <w:r>
        <w:t xml:space="preserve">Pēdējos gados arvien biežāk tiek </w:t>
      </w:r>
      <w:r w:rsidR="00713469">
        <w:t>lietots</w:t>
      </w:r>
      <w:r>
        <w:t xml:space="preserve"> jēdziens </w:t>
      </w:r>
      <w:r w:rsidR="00713469">
        <w:t>“</w:t>
      </w:r>
      <w:r>
        <w:t>sabiedrības noturība</w:t>
      </w:r>
      <w:r w:rsidR="00713469">
        <w:t>”</w:t>
      </w:r>
      <w:r w:rsidR="00CB4E08">
        <w:t xml:space="preserve">, </w:t>
      </w:r>
      <w:r>
        <w:t xml:space="preserve">ar to saprotot sabiedrības spējas pārvarēt dažāda veida krīzes. </w:t>
      </w:r>
      <w:r w:rsidR="00F07540">
        <w:t>V</w:t>
      </w:r>
      <w:r>
        <w:t xml:space="preserve">isbiežāk sabiedrības noturības spēju novērtēšanai analizē tādus sabiedrībā notiekošus procesus kā </w:t>
      </w:r>
      <w:bookmarkStart w:id="1" w:name="_Hlk162513451"/>
      <w:r>
        <w:t>sabiedrības saliedētība, solidaritāte, uzticēšanās līdzcilvēkiem un valsts un pašvaldību institūcijām, piederības sajūta kopienai un aktīva pilsoniskā sabiedrība</w:t>
      </w:r>
      <w:bookmarkEnd w:id="1"/>
      <w:r>
        <w:t>.</w:t>
      </w:r>
    </w:p>
    <w:p w14:paraId="324225A8" w14:textId="1F90993B" w:rsidR="00F07540" w:rsidRPr="00F07540" w:rsidRDefault="00F07540" w:rsidP="00280378">
      <w:pPr>
        <w:rPr>
          <w:szCs w:val="28"/>
        </w:rPr>
      </w:pPr>
      <w:r w:rsidRPr="00280378">
        <w:rPr>
          <w:szCs w:val="28"/>
        </w:rPr>
        <w:t>Kopumā sabiedrības noturības risinājumiem</w:t>
      </w:r>
      <w:r w:rsidRPr="00F07540">
        <w:rPr>
          <w:b/>
          <w:bCs/>
          <w:szCs w:val="28"/>
        </w:rPr>
        <w:t xml:space="preserve"> </w:t>
      </w:r>
      <w:r w:rsidRPr="00F07540">
        <w:rPr>
          <w:szCs w:val="28"/>
        </w:rPr>
        <w:t>identificējami vismaz 5 darbības līmeņi: ES un starptautiskais, nacionālais līmenis, pašvaldību līmenis, kopienu līmenis un indivīda/ģimenes līmenis.</w:t>
      </w:r>
      <w:r>
        <w:rPr>
          <w:szCs w:val="28"/>
        </w:rPr>
        <w:t xml:space="preserve"> Pasākuma </w:t>
      </w:r>
      <w:r w:rsidRPr="00280378">
        <w:rPr>
          <w:szCs w:val="28"/>
        </w:rPr>
        <w:t>4.3.4.9.</w:t>
      </w:r>
      <w:r>
        <w:rPr>
          <w:szCs w:val="28"/>
        </w:rPr>
        <w:t xml:space="preserve"> </w:t>
      </w:r>
      <w:r w:rsidRPr="00280378">
        <w:rPr>
          <w:szCs w:val="28"/>
        </w:rPr>
        <w:t>ieviešana</w:t>
      </w:r>
      <w:r>
        <w:rPr>
          <w:szCs w:val="28"/>
        </w:rPr>
        <w:t xml:space="preserve"> pamatā</w:t>
      </w:r>
      <w:r w:rsidRPr="00280378">
        <w:rPr>
          <w:szCs w:val="28"/>
        </w:rPr>
        <w:t xml:space="preserve"> ir saist</w:t>
      </w:r>
      <w:r>
        <w:rPr>
          <w:szCs w:val="28"/>
        </w:rPr>
        <w:t>īta</w:t>
      </w:r>
      <w:r w:rsidRPr="00280378">
        <w:rPr>
          <w:szCs w:val="28"/>
        </w:rPr>
        <w:t xml:space="preserve"> ar kopienu līmeni</w:t>
      </w:r>
      <w:proofErr w:type="gramStart"/>
      <w:r w:rsidRPr="00280378">
        <w:rPr>
          <w:szCs w:val="28"/>
        </w:rPr>
        <w:t xml:space="preserve"> un</w:t>
      </w:r>
      <w:proofErr w:type="gramEnd"/>
      <w:r w:rsidRPr="00280378">
        <w:rPr>
          <w:szCs w:val="28"/>
        </w:rPr>
        <w:t xml:space="preserve"> tam pakārtoti arī ar indivīda/ģimenes līmeni.</w:t>
      </w:r>
      <w:r>
        <w:rPr>
          <w:szCs w:val="28"/>
        </w:rPr>
        <w:t xml:space="preserve"> </w:t>
      </w:r>
      <w:r w:rsidRPr="00F07540">
        <w:rPr>
          <w:szCs w:val="28"/>
        </w:rPr>
        <w:t xml:space="preserve">Kopienu līmenī </w:t>
      </w:r>
      <w:r>
        <w:rPr>
          <w:szCs w:val="28"/>
        </w:rPr>
        <w:t>tiks veidoti</w:t>
      </w:r>
      <w:r w:rsidRPr="00F07540">
        <w:rPr>
          <w:szCs w:val="28"/>
        </w:rPr>
        <w:t xml:space="preserve"> risinājumi preventīvām darbībām, kas saistītas ar sabiedrības integrācijas aspektiem, vienlaikus paredzot sagatavošanos koordinētai rīcībai krīzes situācijās, tostarp</w:t>
      </w:r>
      <w:r>
        <w:rPr>
          <w:szCs w:val="28"/>
        </w:rPr>
        <w:t xml:space="preserve"> veidojot izglītojošu programmu</w:t>
      </w:r>
      <w:r w:rsidR="00FD41C0">
        <w:rPr>
          <w:szCs w:val="28"/>
        </w:rPr>
        <w:t>,</w:t>
      </w:r>
      <w:r>
        <w:rPr>
          <w:szCs w:val="28"/>
        </w:rPr>
        <w:t xml:space="preserve"> kas ietver konkrētu kopienas un indivīdu spēju</w:t>
      </w:r>
      <w:r w:rsidR="00FD41C0">
        <w:rPr>
          <w:szCs w:val="28"/>
        </w:rPr>
        <w:t xml:space="preserve">, zināšanu un prasmju </w:t>
      </w:r>
      <w:r>
        <w:rPr>
          <w:szCs w:val="28"/>
        </w:rPr>
        <w:t>veidošanu</w:t>
      </w:r>
      <w:r w:rsidRPr="00F07540">
        <w:rPr>
          <w:szCs w:val="28"/>
        </w:rPr>
        <w:t>:</w:t>
      </w:r>
    </w:p>
    <w:p w14:paraId="2EAB6D02" w14:textId="3C2B4951" w:rsidR="00F07540" w:rsidRPr="00D56E64" w:rsidRDefault="00F07540" w:rsidP="00F07540">
      <w:pPr>
        <w:pStyle w:val="Sarakstarindkopa"/>
        <w:numPr>
          <w:ilvl w:val="0"/>
          <w:numId w:val="3"/>
        </w:numPr>
        <w:ind w:left="1843"/>
        <w:jc w:val="both"/>
        <w:rPr>
          <w:sz w:val="28"/>
          <w:szCs w:val="28"/>
          <w:lang w:val="lv-LV"/>
        </w:rPr>
      </w:pPr>
      <w:r w:rsidRPr="00D56E64">
        <w:rPr>
          <w:sz w:val="28"/>
          <w:szCs w:val="28"/>
          <w:lang w:val="lv-LV"/>
        </w:rPr>
        <w:t>spēju identificēt problēmu zonas un mazaizsargāt</w:t>
      </w:r>
      <w:r w:rsidR="00FD41C0" w:rsidRPr="00D56E64">
        <w:rPr>
          <w:sz w:val="28"/>
          <w:szCs w:val="28"/>
          <w:lang w:val="lv-LV"/>
        </w:rPr>
        <w:t>us</w:t>
      </w:r>
      <w:r w:rsidRPr="00D56E64">
        <w:rPr>
          <w:sz w:val="28"/>
          <w:szCs w:val="28"/>
          <w:lang w:val="lv-LV"/>
        </w:rPr>
        <w:t xml:space="preserve"> cilvēk</w:t>
      </w:r>
      <w:r w:rsidR="00FD41C0" w:rsidRPr="00D56E64">
        <w:rPr>
          <w:sz w:val="28"/>
          <w:szCs w:val="28"/>
          <w:lang w:val="lv-LV"/>
        </w:rPr>
        <w:t xml:space="preserve">us, </w:t>
      </w:r>
      <w:r w:rsidRPr="00D56E64">
        <w:rPr>
          <w:sz w:val="28"/>
          <w:szCs w:val="28"/>
          <w:lang w:val="lv-LV"/>
        </w:rPr>
        <w:t>kam nepieciešama palīdzība;</w:t>
      </w:r>
    </w:p>
    <w:p w14:paraId="0181AA71" w14:textId="1E6DAA36" w:rsidR="00F07540" w:rsidRPr="00D56E64" w:rsidRDefault="00F07540" w:rsidP="00F07540">
      <w:pPr>
        <w:pStyle w:val="Sarakstarindkopa"/>
        <w:numPr>
          <w:ilvl w:val="0"/>
          <w:numId w:val="3"/>
        </w:numPr>
        <w:ind w:left="1843"/>
        <w:jc w:val="both"/>
        <w:rPr>
          <w:sz w:val="28"/>
          <w:szCs w:val="28"/>
          <w:lang w:val="lv-LV"/>
        </w:rPr>
      </w:pPr>
      <w:r w:rsidRPr="00D56E64">
        <w:rPr>
          <w:sz w:val="28"/>
          <w:szCs w:val="28"/>
          <w:lang w:val="lv-LV"/>
        </w:rPr>
        <w:t>sadarbības prasmes ar pašvaldību, spēja mobilizēt resursus (finanšu, materiālos un cilvēku) un koordinācija ar pašvaldību;</w:t>
      </w:r>
    </w:p>
    <w:p w14:paraId="2EC70537" w14:textId="77777777" w:rsidR="00FD41C0" w:rsidRPr="00D56E64" w:rsidRDefault="00F07540" w:rsidP="00FD41C0">
      <w:pPr>
        <w:pStyle w:val="Sarakstarindkopa"/>
        <w:numPr>
          <w:ilvl w:val="0"/>
          <w:numId w:val="3"/>
        </w:numPr>
        <w:ind w:left="1843"/>
        <w:jc w:val="both"/>
        <w:rPr>
          <w:sz w:val="28"/>
          <w:szCs w:val="28"/>
          <w:lang w:val="lv-LV"/>
        </w:rPr>
      </w:pPr>
      <w:r w:rsidRPr="00D56E64">
        <w:rPr>
          <w:sz w:val="28"/>
          <w:szCs w:val="28"/>
          <w:lang w:val="lv-LV"/>
        </w:rPr>
        <w:t>drošas informācijas un apziņošanas kanāli arī gadījumos, kad nav pieejami mobilie sakari</w:t>
      </w:r>
      <w:r w:rsidR="00FD41C0" w:rsidRPr="00D56E64">
        <w:rPr>
          <w:sz w:val="28"/>
          <w:szCs w:val="28"/>
          <w:lang w:val="lv-LV"/>
        </w:rPr>
        <w:t>;</w:t>
      </w:r>
    </w:p>
    <w:p w14:paraId="43D02DFE" w14:textId="77777777" w:rsidR="00FD41C0" w:rsidRPr="00280378" w:rsidRDefault="00F07540" w:rsidP="00FD41C0">
      <w:pPr>
        <w:pStyle w:val="Sarakstarindkopa"/>
        <w:numPr>
          <w:ilvl w:val="0"/>
          <w:numId w:val="3"/>
        </w:numPr>
        <w:ind w:left="1843"/>
        <w:jc w:val="both"/>
        <w:rPr>
          <w:sz w:val="28"/>
          <w:szCs w:val="28"/>
        </w:rPr>
      </w:pPr>
      <w:proofErr w:type="spellStart"/>
      <w:r w:rsidRPr="00280378">
        <w:rPr>
          <w:sz w:val="28"/>
          <w:szCs w:val="28"/>
        </w:rPr>
        <w:t>pirmās</w:t>
      </w:r>
      <w:proofErr w:type="spellEnd"/>
      <w:r w:rsidRPr="00280378">
        <w:rPr>
          <w:sz w:val="28"/>
          <w:szCs w:val="28"/>
        </w:rPr>
        <w:t xml:space="preserve"> </w:t>
      </w:r>
      <w:proofErr w:type="spellStart"/>
      <w:r w:rsidRPr="00280378">
        <w:rPr>
          <w:sz w:val="28"/>
          <w:szCs w:val="28"/>
        </w:rPr>
        <w:t>palīdzības</w:t>
      </w:r>
      <w:proofErr w:type="spellEnd"/>
      <w:r w:rsidRPr="00280378">
        <w:rPr>
          <w:sz w:val="28"/>
          <w:szCs w:val="28"/>
        </w:rPr>
        <w:t xml:space="preserve"> </w:t>
      </w:r>
      <w:proofErr w:type="spellStart"/>
      <w:proofErr w:type="gramStart"/>
      <w:r w:rsidRPr="00280378">
        <w:rPr>
          <w:sz w:val="28"/>
          <w:szCs w:val="28"/>
        </w:rPr>
        <w:t>prasm</w:t>
      </w:r>
      <w:r w:rsidR="00FD41C0" w:rsidRPr="00280378">
        <w:rPr>
          <w:sz w:val="28"/>
          <w:szCs w:val="28"/>
        </w:rPr>
        <w:t>es</w:t>
      </w:r>
      <w:proofErr w:type="spellEnd"/>
      <w:r w:rsidR="00FD41C0" w:rsidRPr="00280378">
        <w:rPr>
          <w:sz w:val="28"/>
          <w:szCs w:val="28"/>
        </w:rPr>
        <w:t>;</w:t>
      </w:r>
      <w:proofErr w:type="gramEnd"/>
    </w:p>
    <w:p w14:paraId="49D1F3B7" w14:textId="2696DDC0" w:rsidR="00F07540" w:rsidRPr="00280378" w:rsidRDefault="00F07540" w:rsidP="00280378">
      <w:pPr>
        <w:pStyle w:val="Sarakstarindkopa"/>
        <w:numPr>
          <w:ilvl w:val="0"/>
          <w:numId w:val="3"/>
        </w:numPr>
        <w:ind w:left="1843"/>
        <w:jc w:val="both"/>
        <w:rPr>
          <w:sz w:val="28"/>
          <w:szCs w:val="28"/>
        </w:rPr>
      </w:pPr>
      <w:proofErr w:type="spellStart"/>
      <w:r w:rsidRPr="00280378">
        <w:rPr>
          <w:sz w:val="28"/>
          <w:szCs w:val="28"/>
        </w:rPr>
        <w:t>psiholoģiskās</w:t>
      </w:r>
      <w:proofErr w:type="spellEnd"/>
      <w:r w:rsidRPr="00280378">
        <w:rPr>
          <w:sz w:val="28"/>
          <w:szCs w:val="28"/>
        </w:rPr>
        <w:t xml:space="preserve"> </w:t>
      </w:r>
      <w:proofErr w:type="spellStart"/>
      <w:r w:rsidRPr="00280378">
        <w:rPr>
          <w:sz w:val="28"/>
          <w:szCs w:val="28"/>
        </w:rPr>
        <w:t>palīdzības</w:t>
      </w:r>
      <w:proofErr w:type="spellEnd"/>
      <w:r w:rsidRPr="00280378">
        <w:rPr>
          <w:sz w:val="28"/>
          <w:szCs w:val="28"/>
        </w:rPr>
        <w:t xml:space="preserve"> </w:t>
      </w:r>
      <w:proofErr w:type="spellStart"/>
      <w:r w:rsidRPr="00280378">
        <w:rPr>
          <w:sz w:val="28"/>
          <w:szCs w:val="28"/>
        </w:rPr>
        <w:t>prasm</w:t>
      </w:r>
      <w:r w:rsidR="00FD41C0" w:rsidRPr="00280378">
        <w:rPr>
          <w:sz w:val="28"/>
          <w:szCs w:val="28"/>
        </w:rPr>
        <w:t>es</w:t>
      </w:r>
      <w:proofErr w:type="spellEnd"/>
      <w:r w:rsidRPr="00280378">
        <w:rPr>
          <w:sz w:val="28"/>
          <w:szCs w:val="28"/>
        </w:rPr>
        <w:t xml:space="preserve"> un </w:t>
      </w:r>
      <w:proofErr w:type="spellStart"/>
      <w:r w:rsidRPr="00280378">
        <w:rPr>
          <w:sz w:val="28"/>
          <w:szCs w:val="28"/>
        </w:rPr>
        <w:t>stresa</w:t>
      </w:r>
      <w:proofErr w:type="spellEnd"/>
      <w:r w:rsidRPr="00280378">
        <w:rPr>
          <w:sz w:val="28"/>
          <w:szCs w:val="28"/>
        </w:rPr>
        <w:t xml:space="preserve"> </w:t>
      </w:r>
      <w:proofErr w:type="spellStart"/>
      <w:r w:rsidRPr="00280378">
        <w:rPr>
          <w:sz w:val="28"/>
          <w:szCs w:val="28"/>
        </w:rPr>
        <w:t>vadības</w:t>
      </w:r>
      <w:proofErr w:type="spellEnd"/>
      <w:r w:rsidRPr="00280378">
        <w:rPr>
          <w:sz w:val="28"/>
          <w:szCs w:val="28"/>
        </w:rPr>
        <w:t xml:space="preserve"> </w:t>
      </w:r>
      <w:proofErr w:type="spellStart"/>
      <w:r w:rsidRPr="00280378">
        <w:rPr>
          <w:sz w:val="28"/>
          <w:szCs w:val="28"/>
        </w:rPr>
        <w:t>iemaņ</w:t>
      </w:r>
      <w:r w:rsidR="00FD41C0" w:rsidRPr="00280378">
        <w:rPr>
          <w:sz w:val="28"/>
          <w:szCs w:val="28"/>
        </w:rPr>
        <w:t>as</w:t>
      </w:r>
      <w:proofErr w:type="spellEnd"/>
      <w:r w:rsidR="00FD41C0" w:rsidRPr="00280378">
        <w:rPr>
          <w:sz w:val="28"/>
          <w:szCs w:val="28"/>
        </w:rPr>
        <w:t>.</w:t>
      </w:r>
    </w:p>
    <w:p w14:paraId="167F993C" w14:textId="77777777" w:rsidR="00F07540" w:rsidRPr="00FD41C0" w:rsidRDefault="00F07540" w:rsidP="00F07540">
      <w:pPr>
        <w:pStyle w:val="Sarakstarindkopa"/>
        <w:ind w:left="927"/>
        <w:jc w:val="both"/>
        <w:rPr>
          <w:sz w:val="28"/>
          <w:szCs w:val="28"/>
        </w:rPr>
      </w:pPr>
    </w:p>
    <w:p w14:paraId="38265FE6" w14:textId="062589E3" w:rsidR="00F07540" w:rsidRPr="00FD41C0" w:rsidRDefault="00F07540" w:rsidP="00280378">
      <w:pPr>
        <w:rPr>
          <w:szCs w:val="28"/>
        </w:rPr>
      </w:pPr>
      <w:r w:rsidRPr="00280378">
        <w:rPr>
          <w:szCs w:val="28"/>
        </w:rPr>
        <w:t>Veidojot kopienu noturības un pašorganizēšanās mācības</w:t>
      </w:r>
      <w:r w:rsidR="00FD41C0">
        <w:rPr>
          <w:szCs w:val="28"/>
        </w:rPr>
        <w:t xml:space="preserve">, uzmanība tiks pievērsta </w:t>
      </w:r>
      <w:proofErr w:type="spellStart"/>
      <w:r w:rsidR="00FD41C0">
        <w:rPr>
          <w:szCs w:val="28"/>
        </w:rPr>
        <w:t>praktisām</w:t>
      </w:r>
      <w:proofErr w:type="spellEnd"/>
      <w:r w:rsidRPr="00280378">
        <w:rPr>
          <w:szCs w:val="28"/>
        </w:rPr>
        <w:t xml:space="preserve"> darbībām, kurās</w:t>
      </w:r>
      <w:r w:rsidR="00FD41C0">
        <w:rPr>
          <w:szCs w:val="28"/>
        </w:rPr>
        <w:t xml:space="preserve"> kopienas pārstāvji</w:t>
      </w:r>
      <w:r w:rsidRPr="00FD41C0">
        <w:rPr>
          <w:b/>
          <w:bCs/>
          <w:szCs w:val="28"/>
        </w:rPr>
        <w:t xml:space="preserve"> </w:t>
      </w:r>
      <w:r w:rsidRPr="00FD41C0">
        <w:rPr>
          <w:szCs w:val="28"/>
        </w:rPr>
        <w:t>apzina resursus, iepazīstas un veido savstarpējus kontaktus, izprot vietējo infrastruktūru</w:t>
      </w:r>
      <w:r w:rsidR="00FD41C0">
        <w:rPr>
          <w:szCs w:val="28"/>
        </w:rPr>
        <w:t xml:space="preserve"> un </w:t>
      </w:r>
      <w:r w:rsidRPr="00FD41C0">
        <w:rPr>
          <w:szCs w:val="28"/>
        </w:rPr>
        <w:t xml:space="preserve">iemācās koordinēt darbības. </w:t>
      </w:r>
    </w:p>
    <w:p w14:paraId="12814ECA" w14:textId="4869DE2D" w:rsidR="00D84213" w:rsidRDefault="00D84213"/>
    <w:p w14:paraId="08842402" w14:textId="2351A285" w:rsidR="006B42D9" w:rsidRDefault="00E94686">
      <w:r>
        <w:t>4.3.4.</w:t>
      </w:r>
      <w:r w:rsidR="005F6924">
        <w:t>9</w:t>
      </w:r>
      <w:r>
        <w:t xml:space="preserve">. pasākums tiks īstenots ierobežotas projektu iesniegumu atlases veidā, </w:t>
      </w:r>
      <w:proofErr w:type="gramStart"/>
      <w:r>
        <w:t xml:space="preserve">nosakot, ka projekta iesniedzējs </w:t>
      </w:r>
      <w:r w:rsidR="00012757" w:rsidRPr="00012757">
        <w:t>ir atvasināta</w:t>
      </w:r>
      <w:proofErr w:type="gramEnd"/>
      <w:r w:rsidR="00012757" w:rsidRPr="00012757">
        <w:t xml:space="preserve"> publisko tiesību juridiskā persona – Sabiedrības integrācijas fonds, kas veicina sabiedrības integrāciju atbilstoši Sabiedrības integrācijas fonda likumam</w:t>
      </w:r>
      <w:r>
        <w:t>, kas projektu īsteno kopā ar sadarbības partneriem –</w:t>
      </w:r>
      <w:r w:rsidR="00012757">
        <w:t xml:space="preserve"> </w:t>
      </w:r>
      <w:r w:rsidR="00012757" w:rsidRPr="00830DDF">
        <w:t>biedrīb</w:t>
      </w:r>
      <w:r w:rsidR="00012757">
        <w:t>u</w:t>
      </w:r>
      <w:r w:rsidR="00012757" w:rsidRPr="00012757">
        <w:t xml:space="preserve"> </w:t>
      </w:r>
      <w:r w:rsidR="00012757" w:rsidRPr="00830DDF">
        <w:t>“Latvijas Pilsoniskā alianse”</w:t>
      </w:r>
      <w:r w:rsidR="00012757">
        <w:t xml:space="preserve">, </w:t>
      </w:r>
      <w:r w:rsidR="005F6924" w:rsidRPr="00012757">
        <w:t>biedrību “Zemgales NVO centrs”, biedrību “Dienvidlatgales NVO atbalsta centrs”, biedrību “Kurzemes NVO centrs” un nodibinājumu “Valmieras novada fonds”.</w:t>
      </w:r>
    </w:p>
    <w:p w14:paraId="251769BD" w14:textId="599BC982" w:rsidR="00713469" w:rsidRPr="00280378" w:rsidRDefault="00CB4E08">
      <w:pPr>
        <w:rPr>
          <w:color w:val="auto"/>
          <w:szCs w:val="28"/>
        </w:rPr>
      </w:pPr>
      <w:r w:rsidRPr="00280378">
        <w:rPr>
          <w:color w:val="auto"/>
          <w:szCs w:val="28"/>
        </w:rPr>
        <w:lastRenderedPageBreak/>
        <w:t>4.3.4.</w:t>
      </w:r>
      <w:r w:rsidR="00713469" w:rsidRPr="00280378">
        <w:rPr>
          <w:color w:val="auto"/>
          <w:szCs w:val="28"/>
        </w:rPr>
        <w:t>9</w:t>
      </w:r>
      <w:r w:rsidRPr="00280378">
        <w:rPr>
          <w:color w:val="auto"/>
          <w:szCs w:val="28"/>
        </w:rPr>
        <w:t xml:space="preserve">. pasākuma mērķa grupa ir </w:t>
      </w:r>
      <w:r w:rsidR="00713469" w:rsidRPr="00280378">
        <w:rPr>
          <w:color w:val="auto"/>
          <w:szCs w:val="28"/>
        </w:rPr>
        <w:t xml:space="preserve">reģionāla vai vietēja līmeņa </w:t>
      </w:r>
      <w:r w:rsidRPr="00280378">
        <w:rPr>
          <w:color w:val="auto"/>
          <w:szCs w:val="28"/>
        </w:rPr>
        <w:t>biedrības</w:t>
      </w:r>
      <w:r w:rsidR="00713469" w:rsidRPr="00280378">
        <w:rPr>
          <w:color w:val="auto"/>
          <w:szCs w:val="28"/>
        </w:rPr>
        <w:t xml:space="preserve"> un </w:t>
      </w:r>
      <w:r w:rsidRPr="00280378">
        <w:rPr>
          <w:color w:val="auto"/>
          <w:szCs w:val="28"/>
        </w:rPr>
        <w:t>nodibinājumi,</w:t>
      </w:r>
      <w:r w:rsidR="00713469" w:rsidRPr="00280378">
        <w:rPr>
          <w:color w:val="auto"/>
          <w:szCs w:val="28"/>
        </w:rPr>
        <w:t xml:space="preserve"> vietējo kopienu iniciatīvu grupas un iedzīvotāji, ietverot </w:t>
      </w:r>
      <w:r w:rsidR="00713469" w:rsidRPr="00280378">
        <w:rPr>
          <w:szCs w:val="28"/>
        </w:rPr>
        <w:t>dažādu etnisko kopienu pārstāvjus (mazākumtautības, cittautieši, romi),</w:t>
      </w:r>
      <w:proofErr w:type="gramStart"/>
      <w:r w:rsidR="00713469" w:rsidRPr="00280378">
        <w:rPr>
          <w:szCs w:val="28"/>
        </w:rPr>
        <w:t xml:space="preserve">  </w:t>
      </w:r>
      <w:proofErr w:type="gramEnd"/>
      <w:r w:rsidR="00713469" w:rsidRPr="00280378">
        <w:rPr>
          <w:szCs w:val="28"/>
        </w:rPr>
        <w:t xml:space="preserve">sociālās atstumtības riskam pakļautos iedzīvotājus un iedzīvotājus ar nevienlīdzīgām iespējām, tostarp citu sociālo grupu pārstāvjus, kuriem nepieciešams atbalsts </w:t>
      </w:r>
      <w:proofErr w:type="spellStart"/>
      <w:r w:rsidR="00713469" w:rsidRPr="00280378">
        <w:rPr>
          <w:szCs w:val="28"/>
        </w:rPr>
        <w:t>pašorganizācijas</w:t>
      </w:r>
      <w:proofErr w:type="spellEnd"/>
      <w:r w:rsidR="00713469" w:rsidRPr="00280378">
        <w:rPr>
          <w:szCs w:val="28"/>
        </w:rPr>
        <w:t>, sadarbības un līdzdarbības prasmju stiprināšanai.</w:t>
      </w:r>
      <w:r w:rsidR="00713469" w:rsidRPr="00280378">
        <w:rPr>
          <w:color w:val="auto"/>
          <w:szCs w:val="28"/>
        </w:rPr>
        <w:t xml:space="preserve"> </w:t>
      </w:r>
    </w:p>
    <w:p w14:paraId="651E5DD5" w14:textId="1A2CCA7D" w:rsidR="00C51168" w:rsidRPr="00C51168" w:rsidRDefault="00C51168" w:rsidP="00280378">
      <w:pPr>
        <w:widowControl w:val="0"/>
        <w:tabs>
          <w:tab w:val="left" w:pos="1134"/>
        </w:tabs>
        <w:rPr>
          <w:szCs w:val="28"/>
        </w:rPr>
      </w:pPr>
      <w:r w:rsidRPr="00280378">
        <w:rPr>
          <w:szCs w:val="28"/>
        </w:rPr>
        <w:t>P</w:t>
      </w:r>
      <w:r w:rsidR="00CB4E08" w:rsidRPr="00280378">
        <w:rPr>
          <w:szCs w:val="28"/>
        </w:rPr>
        <w:t>rojekta iesniedzēj</w:t>
      </w:r>
      <w:r w:rsidR="00713469" w:rsidRPr="00280378">
        <w:rPr>
          <w:szCs w:val="28"/>
        </w:rPr>
        <w:t>s ir</w:t>
      </w:r>
      <w:r w:rsidR="00CB4E08" w:rsidRPr="00280378">
        <w:rPr>
          <w:szCs w:val="28"/>
        </w:rPr>
        <w:t xml:space="preserve"> Sabiedrības integrācijas fond</w:t>
      </w:r>
      <w:r w:rsidRPr="00280378">
        <w:rPr>
          <w:szCs w:val="28"/>
        </w:rPr>
        <w:t>s</w:t>
      </w:r>
      <w:proofErr w:type="gramStart"/>
      <w:r w:rsidRPr="00280378">
        <w:rPr>
          <w:szCs w:val="28"/>
        </w:rPr>
        <w:t xml:space="preserve"> un</w:t>
      </w:r>
      <w:proofErr w:type="gramEnd"/>
      <w:r w:rsidRPr="00280378">
        <w:rPr>
          <w:szCs w:val="28"/>
        </w:rPr>
        <w:t xml:space="preserve"> </w:t>
      </w:r>
      <w:r w:rsidR="00CB4E08" w:rsidRPr="00280378">
        <w:rPr>
          <w:szCs w:val="28"/>
        </w:rPr>
        <w:t>sadarbības partner</w:t>
      </w:r>
      <w:r w:rsidRPr="00280378">
        <w:rPr>
          <w:szCs w:val="28"/>
        </w:rPr>
        <w:t>i ir</w:t>
      </w:r>
      <w:r w:rsidRPr="00FD41C0">
        <w:rPr>
          <w:szCs w:val="28"/>
        </w:rPr>
        <w:t xml:space="preserve"> biedrība “Latvijas Pilsoniskā alianse”</w:t>
      </w:r>
      <w:r w:rsidRPr="00977042">
        <w:rPr>
          <w:szCs w:val="28"/>
        </w:rPr>
        <w:t>, biedrība “Zemgales NVO centrs</w:t>
      </w:r>
      <w:r w:rsidRPr="002D3D46">
        <w:rPr>
          <w:szCs w:val="28"/>
        </w:rPr>
        <w:t>”</w:t>
      </w:r>
      <w:r>
        <w:rPr>
          <w:szCs w:val="28"/>
        </w:rPr>
        <w:t xml:space="preserve">, </w:t>
      </w:r>
      <w:r w:rsidRPr="00C51168">
        <w:rPr>
          <w:szCs w:val="28"/>
        </w:rPr>
        <w:t>biedrība “Dienvidlatgales NVO atbalsta centrs”</w:t>
      </w:r>
      <w:r>
        <w:rPr>
          <w:szCs w:val="28"/>
        </w:rPr>
        <w:t xml:space="preserve">, </w:t>
      </w:r>
      <w:r w:rsidRPr="00C51168">
        <w:rPr>
          <w:szCs w:val="28"/>
        </w:rPr>
        <w:t>biedrība “Kurzemes NVO centrs”</w:t>
      </w:r>
      <w:r>
        <w:rPr>
          <w:szCs w:val="28"/>
        </w:rPr>
        <w:t xml:space="preserve">, </w:t>
      </w:r>
      <w:r w:rsidRPr="00C51168">
        <w:rPr>
          <w:szCs w:val="28"/>
        </w:rPr>
        <w:t>nodibinājums “Valmieras novada fonds”.</w:t>
      </w:r>
    </w:p>
    <w:p w14:paraId="18BD637E" w14:textId="7861F648" w:rsidR="005F6924" w:rsidRPr="00280378" w:rsidRDefault="00CB4E08">
      <w:pPr>
        <w:rPr>
          <w:color w:val="auto"/>
          <w:szCs w:val="28"/>
        </w:rPr>
      </w:pPr>
      <w:r w:rsidRPr="00280378">
        <w:rPr>
          <w:color w:val="auto"/>
          <w:szCs w:val="28"/>
        </w:rPr>
        <w:br/>
      </w:r>
    </w:p>
    <w:p w14:paraId="50661D45" w14:textId="6E7DBBD6" w:rsidR="006B42D9" w:rsidRDefault="00E94686">
      <w:r>
        <w:t>4.3.4.</w:t>
      </w:r>
      <w:r w:rsidR="005F6924">
        <w:t>9</w:t>
      </w:r>
      <w:r>
        <w:t xml:space="preserve">. pasākuma ietvaros plānotais kopējais attiecināmais finansējums ir ne mazāk kā </w:t>
      </w:r>
      <w:r w:rsidR="005F6924">
        <w:t>4 350 </w:t>
      </w:r>
      <w:r w:rsidR="00014257">
        <w:t>0</w:t>
      </w:r>
      <w:r w:rsidR="005F6924">
        <w:t>00 </w:t>
      </w:r>
      <w:r>
        <w:rPr>
          <w:i/>
        </w:rPr>
        <w:t>euro</w:t>
      </w:r>
      <w:r>
        <w:t xml:space="preserve">, tai skaitā Eiropas Sociālā fonda Plus (turpmāk – ESF+) finansējums granta veidā ne vairāk kā – </w:t>
      </w:r>
      <w:r w:rsidR="005F6924">
        <w:t>3</w:t>
      </w:r>
      <w:r>
        <w:t> </w:t>
      </w:r>
      <w:r w:rsidR="005F6924">
        <w:t>697</w:t>
      </w:r>
      <w:r>
        <w:t xml:space="preserve"> 500 </w:t>
      </w:r>
      <w:r>
        <w:rPr>
          <w:i/>
        </w:rPr>
        <w:t xml:space="preserve">euro </w:t>
      </w:r>
      <w:r>
        <w:t xml:space="preserve">un valsts budžeta līdzfinansējums – </w:t>
      </w:r>
      <w:r w:rsidR="005F6924">
        <w:t>652 </w:t>
      </w:r>
      <w:r>
        <w:t>500</w:t>
      </w:r>
      <w:r w:rsidR="005F6924">
        <w:t> </w:t>
      </w:r>
      <w:r>
        <w:rPr>
          <w:i/>
        </w:rPr>
        <w:t>euro</w:t>
      </w:r>
      <w:r>
        <w:t>.</w:t>
      </w:r>
    </w:p>
    <w:p w14:paraId="787DB0E9" w14:textId="77777777" w:rsidR="006B42D9" w:rsidRDefault="006B42D9"/>
    <w:p w14:paraId="08F8DA7A" w14:textId="15ACF803" w:rsidR="006B42D9" w:rsidRDefault="00E94686">
      <w:r>
        <w:t>4.3.4.</w:t>
      </w:r>
      <w:r w:rsidR="005F6924">
        <w:t>9</w:t>
      </w:r>
      <w:r>
        <w:t xml:space="preserve">. pasākuma projektu iesniegumu atlasi var uzsākt un vienošanos par projekta īstenošanu var slēgt, ievērojot Eiropas Parlamenta un Padomes (ES) 2021. gada 24. jūnija Regulas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 2021/1060) 86. pantā noteikto, ka elastības finansējuma apjoms ir 50% no dalībvalstij pieejamā Eiropas Savienības fondu finansējuma 2026. gadam un 2027. gadam, attiecīgi pasākumam pieejamais kopējais finansējums līdz 2025. gada 31. decembrim, lai slēgtu vienošanos par projektu īstenošanu, ir ne vairāk kā </w:t>
      </w:r>
      <w:r w:rsidR="005F6924">
        <w:t>3</w:t>
      </w:r>
      <w:r>
        <w:t> </w:t>
      </w:r>
      <w:r w:rsidR="005F6924">
        <w:t>663</w:t>
      </w:r>
      <w:r>
        <w:t> </w:t>
      </w:r>
      <w:r w:rsidR="005F6924">
        <w:t>679</w:t>
      </w:r>
      <w:r>
        <w:t> </w:t>
      </w:r>
      <w:r>
        <w:rPr>
          <w:i/>
        </w:rPr>
        <w:t>euro</w:t>
      </w:r>
      <w:r>
        <w:t xml:space="preserve">, tai skaitā ESF+ finansējums granta veidā </w:t>
      </w:r>
      <w:r w:rsidR="005F6924">
        <w:t>3</w:t>
      </w:r>
      <w:r>
        <w:t> </w:t>
      </w:r>
      <w:r w:rsidR="005F6924">
        <w:t>114</w:t>
      </w:r>
      <w:r>
        <w:t> </w:t>
      </w:r>
      <w:r w:rsidR="005F6924">
        <w:t>127</w:t>
      </w:r>
      <w:r>
        <w:t xml:space="preserve"> </w:t>
      </w:r>
      <w:r>
        <w:rPr>
          <w:i/>
        </w:rPr>
        <w:t xml:space="preserve">euro </w:t>
      </w:r>
      <w:r>
        <w:t xml:space="preserve">un valsts budžeta līdzfinansējums </w:t>
      </w:r>
      <w:r w:rsidR="005F6924">
        <w:t>549</w:t>
      </w:r>
      <w:r>
        <w:t> </w:t>
      </w:r>
      <w:r w:rsidR="005F6924">
        <w:t>552</w:t>
      </w:r>
      <w:r>
        <w:t> </w:t>
      </w:r>
      <w:r>
        <w:rPr>
          <w:i/>
        </w:rPr>
        <w:t>euro.</w:t>
      </w:r>
    </w:p>
    <w:p w14:paraId="4DE2294D" w14:textId="77777777" w:rsidR="006B42D9" w:rsidRDefault="006B42D9"/>
    <w:p w14:paraId="7857448A" w14:textId="3DC3B2B9" w:rsidR="006B42D9" w:rsidRDefault="00E94686">
      <w:r w:rsidRPr="00280378">
        <w:t xml:space="preserve">Projekts nosaka, ka izmaksas ir attiecināmas no Projekta spēkā stāšanās dienas. </w:t>
      </w:r>
    </w:p>
    <w:p w14:paraId="46ED4C9B" w14:textId="77777777" w:rsidR="006B42D9" w:rsidRDefault="006B42D9"/>
    <w:p w14:paraId="0A943347" w14:textId="0B88411C" w:rsidR="006B42D9" w:rsidRDefault="00E94686">
      <w:r>
        <w:t>4.3.4.</w:t>
      </w:r>
      <w:r w:rsidR="00243507">
        <w:t>9</w:t>
      </w:r>
      <w:r>
        <w:t xml:space="preserve">. pasākuma ESF+ finansējums </w:t>
      </w:r>
      <w:r w:rsidR="00243507">
        <w:t>3</w:t>
      </w:r>
      <w:r>
        <w:t> </w:t>
      </w:r>
      <w:r w:rsidR="00243507">
        <w:t>697</w:t>
      </w:r>
      <w:r>
        <w:t xml:space="preserve"> 500 </w:t>
      </w:r>
      <w:r>
        <w:rPr>
          <w:i/>
        </w:rPr>
        <w:t xml:space="preserve">euro </w:t>
      </w:r>
      <w:r>
        <w:t>apmērā atbilst intervences kod</w:t>
      </w:r>
      <w:r w:rsidR="00243507">
        <w:t>am</w:t>
      </w:r>
      <w:r>
        <w:t xml:space="preserve"> 152 “Pasākumi, kas veicina vienlīdzīgas iespējas un aktīvu līdzdalību sabiedrībā”.</w:t>
      </w:r>
    </w:p>
    <w:p w14:paraId="101E4353" w14:textId="10ACC614" w:rsidR="00FA741B" w:rsidRDefault="00E94686">
      <w:r>
        <w:t> </w:t>
      </w:r>
    </w:p>
    <w:p w14:paraId="223100B0" w14:textId="6F3CF209" w:rsidR="006B42D9" w:rsidRDefault="00E94686">
      <w:r>
        <w:t>4.3.4.</w:t>
      </w:r>
      <w:r w:rsidR="00E93386">
        <w:t>9</w:t>
      </w:r>
      <w:r>
        <w:t>. pasākuma ietvaros ir noteiktas šādas atbalstāmas darbības:</w:t>
      </w:r>
    </w:p>
    <w:p w14:paraId="2F9EEA20" w14:textId="77777777" w:rsidR="00A32DBE" w:rsidRDefault="00A32DBE" w:rsidP="00A32DBE">
      <w:pPr>
        <w:widowControl w:val="0"/>
        <w:tabs>
          <w:tab w:val="left" w:pos="1134"/>
        </w:tabs>
        <w:rPr>
          <w:szCs w:val="28"/>
        </w:rPr>
      </w:pPr>
      <w:r w:rsidRPr="00A32DBE">
        <w:rPr>
          <w:szCs w:val="28"/>
        </w:rPr>
        <w:t xml:space="preserve">1. izglītojošu pasākumu programmas sagatavošana, aprobēšana un īstenošana vietējo kopienu noturības spēju stiprināšanai un </w:t>
      </w:r>
      <w:proofErr w:type="spellStart"/>
      <w:r w:rsidRPr="00A32DBE">
        <w:rPr>
          <w:szCs w:val="28"/>
        </w:rPr>
        <w:t>pašorganizācijas</w:t>
      </w:r>
      <w:proofErr w:type="spellEnd"/>
      <w:r w:rsidRPr="00A32DBE">
        <w:rPr>
          <w:szCs w:val="28"/>
        </w:rPr>
        <w:t xml:space="preserve">, sadarbības un līdzdarbības prasmju attīstībai; </w:t>
      </w:r>
      <w:bookmarkStart w:id="2" w:name="_Hlk162449991"/>
      <w:bookmarkStart w:id="3" w:name="_Hlk162428683"/>
    </w:p>
    <w:p w14:paraId="15BAE8FE" w14:textId="77777777" w:rsidR="00A32DBE" w:rsidRDefault="00A32DBE" w:rsidP="00A32DBE">
      <w:pPr>
        <w:widowControl w:val="0"/>
        <w:tabs>
          <w:tab w:val="left" w:pos="1134"/>
        </w:tabs>
        <w:rPr>
          <w:szCs w:val="28"/>
        </w:rPr>
      </w:pPr>
      <w:r>
        <w:rPr>
          <w:szCs w:val="28"/>
        </w:rPr>
        <w:t xml:space="preserve">2. </w:t>
      </w:r>
      <w:r w:rsidRPr="00A32DBE">
        <w:rPr>
          <w:szCs w:val="28"/>
        </w:rPr>
        <w:t>atbalsta tīklu veidošana vietējo kopienu aktivizēšanai, saliedēšanai un noturības prasmju veicināšanai</w:t>
      </w:r>
      <w:bookmarkEnd w:id="2"/>
      <w:r w:rsidRPr="00A32DBE">
        <w:rPr>
          <w:szCs w:val="28"/>
        </w:rPr>
        <w:t xml:space="preserve">; </w:t>
      </w:r>
      <w:bookmarkStart w:id="4" w:name="_Hlk162427901"/>
      <w:bookmarkEnd w:id="3"/>
    </w:p>
    <w:p w14:paraId="4635ECAF" w14:textId="77777777" w:rsidR="00A32DBE" w:rsidRDefault="00A32DBE" w:rsidP="00A32DBE">
      <w:pPr>
        <w:widowControl w:val="0"/>
        <w:tabs>
          <w:tab w:val="left" w:pos="1134"/>
        </w:tabs>
        <w:rPr>
          <w:szCs w:val="28"/>
        </w:rPr>
      </w:pPr>
      <w:r>
        <w:rPr>
          <w:szCs w:val="28"/>
        </w:rPr>
        <w:t xml:space="preserve">3. </w:t>
      </w:r>
      <w:r w:rsidRPr="00A32DBE">
        <w:rPr>
          <w:szCs w:val="28"/>
        </w:rPr>
        <w:t xml:space="preserve">kopienas iniciatīvu īstenošana ar mērķi veicināt vietējo kopienu aktivizēšanu, </w:t>
      </w:r>
      <w:r w:rsidRPr="00A32DBE">
        <w:rPr>
          <w:szCs w:val="28"/>
        </w:rPr>
        <w:lastRenderedPageBreak/>
        <w:t xml:space="preserve">saliedēšanu un noturības prasmju veicināšanu; </w:t>
      </w:r>
    </w:p>
    <w:p w14:paraId="581FA9FB" w14:textId="77777777" w:rsidR="00A32DBE" w:rsidRDefault="00A32DBE" w:rsidP="00A32DBE">
      <w:pPr>
        <w:widowControl w:val="0"/>
        <w:tabs>
          <w:tab w:val="left" w:pos="1134"/>
        </w:tabs>
        <w:rPr>
          <w:szCs w:val="28"/>
        </w:rPr>
      </w:pPr>
      <w:r>
        <w:rPr>
          <w:szCs w:val="28"/>
        </w:rPr>
        <w:t xml:space="preserve">4. </w:t>
      </w:r>
      <w:r w:rsidRPr="00A32DBE">
        <w:rPr>
          <w:szCs w:val="28"/>
        </w:rPr>
        <w:t>informatīvu pieredzes apmaiņas un saliedējošu</w:t>
      </w:r>
      <w:r w:rsidRPr="00A32DBE">
        <w:t xml:space="preserve"> </w:t>
      </w:r>
      <w:r w:rsidRPr="00A32DBE">
        <w:rPr>
          <w:szCs w:val="28"/>
        </w:rPr>
        <w:t>pasākumu organizēšana reģionos;</w:t>
      </w:r>
      <w:bookmarkEnd w:id="4"/>
    </w:p>
    <w:p w14:paraId="73163EBF" w14:textId="77777777" w:rsidR="00A32DBE" w:rsidRDefault="00A32DBE" w:rsidP="00A32DBE">
      <w:pPr>
        <w:widowControl w:val="0"/>
        <w:tabs>
          <w:tab w:val="left" w:pos="1134"/>
        </w:tabs>
        <w:rPr>
          <w:szCs w:val="28"/>
        </w:rPr>
      </w:pPr>
      <w:r>
        <w:rPr>
          <w:szCs w:val="28"/>
        </w:rPr>
        <w:t xml:space="preserve">5. </w:t>
      </w:r>
      <w:r w:rsidRPr="00A32DBE">
        <w:rPr>
          <w:szCs w:val="28"/>
        </w:rPr>
        <w:t>komunikācijas un vizuālās identitātes prasību nodrošināšanas pasākumi par projekta īstenošanu;</w:t>
      </w:r>
    </w:p>
    <w:p w14:paraId="2F25731A" w14:textId="762904FA" w:rsidR="00A32DBE" w:rsidRPr="00A32DBE" w:rsidRDefault="00A32DBE" w:rsidP="00A32DBE">
      <w:pPr>
        <w:widowControl w:val="0"/>
        <w:tabs>
          <w:tab w:val="left" w:pos="1134"/>
        </w:tabs>
        <w:rPr>
          <w:szCs w:val="28"/>
        </w:rPr>
      </w:pPr>
      <w:r>
        <w:rPr>
          <w:szCs w:val="28"/>
        </w:rPr>
        <w:t xml:space="preserve">6. </w:t>
      </w:r>
      <w:r w:rsidRPr="00A32DBE">
        <w:rPr>
          <w:szCs w:val="28"/>
        </w:rPr>
        <w:t>projekta vadība un projekta īstenošanas nodrošināšana.</w:t>
      </w:r>
    </w:p>
    <w:p w14:paraId="1128F073" w14:textId="6A9D3295" w:rsidR="007D61B9" w:rsidRDefault="007D61B9"/>
    <w:p w14:paraId="10C0078E" w14:textId="62BF224C" w:rsidR="00145793" w:rsidRPr="008B3831" w:rsidRDefault="00E94686" w:rsidP="00145793">
      <w:pPr>
        <w:widowControl w:val="0"/>
        <w:rPr>
          <w:szCs w:val="28"/>
        </w:rPr>
      </w:pPr>
      <w:r>
        <w:t>4.3.4.</w:t>
      </w:r>
      <w:r w:rsidR="00E93386">
        <w:t>9</w:t>
      </w:r>
      <w:r>
        <w:t>. pasākuma mērķa grupa</w:t>
      </w:r>
      <w:r w:rsidR="00145793">
        <w:t xml:space="preserve"> ir</w:t>
      </w:r>
      <w:r>
        <w:t xml:space="preserve"> </w:t>
      </w:r>
      <w:r w:rsidR="00434B58">
        <w:rPr>
          <w:szCs w:val="28"/>
        </w:rPr>
        <w:t xml:space="preserve">kopienas aktīvie iedzīvotāji, neformālās iniciatīvu grupas, biedrības un nodibinājumi, </w:t>
      </w:r>
      <w:r w:rsidR="00434B58" w:rsidRPr="00896CDD">
        <w:rPr>
          <w:szCs w:val="28"/>
        </w:rPr>
        <w:t>reģionāl</w:t>
      </w:r>
      <w:r w:rsidR="00434B58">
        <w:rPr>
          <w:szCs w:val="28"/>
        </w:rPr>
        <w:t>ie</w:t>
      </w:r>
      <w:r w:rsidR="00434B58" w:rsidRPr="00896CDD">
        <w:rPr>
          <w:szCs w:val="28"/>
        </w:rPr>
        <w:t xml:space="preserve"> nevalstisk</w:t>
      </w:r>
      <w:r w:rsidR="00434B58">
        <w:rPr>
          <w:szCs w:val="28"/>
        </w:rPr>
        <w:t xml:space="preserve">o </w:t>
      </w:r>
      <w:r w:rsidR="00434B58" w:rsidRPr="00896CDD">
        <w:rPr>
          <w:szCs w:val="28"/>
        </w:rPr>
        <w:t>organizāciju atbalsta centr</w:t>
      </w:r>
      <w:r w:rsidR="00434B58">
        <w:rPr>
          <w:szCs w:val="28"/>
        </w:rPr>
        <w:t xml:space="preserve">i, </w:t>
      </w:r>
      <w:r w:rsidR="00434B58" w:rsidRPr="00896CDD">
        <w:rPr>
          <w:szCs w:val="28"/>
        </w:rPr>
        <w:t>mazaizsargāt</w:t>
      </w:r>
      <w:r w:rsidR="00434B58">
        <w:rPr>
          <w:szCs w:val="28"/>
        </w:rPr>
        <w:t>ie</w:t>
      </w:r>
      <w:r w:rsidR="00434B58" w:rsidRPr="00896CDD">
        <w:rPr>
          <w:szCs w:val="28"/>
        </w:rPr>
        <w:t xml:space="preserve"> vai sociālās atstumtības riskam pakļaut</w:t>
      </w:r>
      <w:r w:rsidR="00434B58">
        <w:rPr>
          <w:szCs w:val="28"/>
        </w:rPr>
        <w:t xml:space="preserve">ie </w:t>
      </w:r>
      <w:r w:rsidR="00434B58" w:rsidRPr="00896CDD">
        <w:rPr>
          <w:szCs w:val="28"/>
        </w:rPr>
        <w:t>iedzīvotāj</w:t>
      </w:r>
      <w:r w:rsidR="00434B58">
        <w:rPr>
          <w:szCs w:val="28"/>
        </w:rPr>
        <w:t>i</w:t>
      </w:r>
      <w:r w:rsidR="00145793">
        <w:rPr>
          <w:szCs w:val="28"/>
        </w:rPr>
        <w:t>.</w:t>
      </w:r>
    </w:p>
    <w:p w14:paraId="16739568" w14:textId="56EA0FEC" w:rsidR="006B42D9" w:rsidRDefault="006B42D9"/>
    <w:p w14:paraId="0973E813" w14:textId="3A30E518" w:rsidR="006B42D9" w:rsidRDefault="00E94686">
      <w:r>
        <w:t>4.3.4.</w:t>
      </w:r>
      <w:r w:rsidR="00FB5256">
        <w:t>9</w:t>
      </w:r>
      <w:r>
        <w:t>. pasākuma ietvaros līdz 2029. gada 31. decembrim ir sasniedzami šādi rādītāji:</w:t>
      </w:r>
    </w:p>
    <w:p w14:paraId="3E9AD56D" w14:textId="0323B1A7" w:rsidR="006B42D9" w:rsidRDefault="00E94686">
      <w:r>
        <w:t xml:space="preserve">1. iznākuma rādītājs: nacionāla, reģionāla vai vietēja mēroga valsts administrācijas vai sabiedrisko pakalpojumu iestāžu un pakalpojumu skaits, kas saņēmušas atbalstu – </w:t>
      </w:r>
      <w:r w:rsidR="00FB5256">
        <w:t>6</w:t>
      </w:r>
      <w:r>
        <w:t>;</w:t>
      </w:r>
    </w:p>
    <w:p w14:paraId="54FA9D19" w14:textId="1E2B86DC" w:rsidR="006B42D9" w:rsidRDefault="00E94686">
      <w:r>
        <w:t xml:space="preserve">2. rezultāta rādītājs: </w:t>
      </w:r>
      <w:r w:rsidR="00FB5256">
        <w:t xml:space="preserve">nevalstisko organizāciju </w:t>
      </w:r>
      <w:r w:rsidR="00A32DBE">
        <w:t>un kopienas pārstāvju</w:t>
      </w:r>
      <w:r w:rsidR="00951E0D">
        <w:t xml:space="preserve"> </w:t>
      </w:r>
      <w:r w:rsidR="00FB5256">
        <w:t>skaits</w:t>
      </w:r>
      <w:r w:rsidR="00FB5256" w:rsidRPr="00DA4A1D">
        <w:t>, k</w:t>
      </w:r>
      <w:r w:rsidR="00951E0D">
        <w:t>am</w:t>
      </w:r>
      <w:r w:rsidR="00FB5256" w:rsidRPr="00DA4A1D">
        <w:t xml:space="preserve"> ir stiprinātas sadarbības un līdzdarbības prasmes un iespējas, lai veicinātu </w:t>
      </w:r>
      <w:r w:rsidR="00FB5256">
        <w:t xml:space="preserve">nevalstisko organizāciju </w:t>
      </w:r>
      <w:r w:rsidR="00FB5256" w:rsidRPr="00DA4A1D">
        <w:t>darbības paplašināšanu un iespēju veicināšanu</w:t>
      </w:r>
      <w:r w:rsidR="00FB5256">
        <w:t xml:space="preserve">, </w:t>
      </w:r>
      <w:r>
        <w:t xml:space="preserve">– </w:t>
      </w:r>
      <w:r w:rsidR="00951E0D">
        <w:t>60</w:t>
      </w:r>
      <w:r>
        <w:t>.</w:t>
      </w:r>
    </w:p>
    <w:p w14:paraId="399A800E" w14:textId="77777777" w:rsidR="006B42D9" w:rsidRDefault="00E94686">
      <w:r>
        <w:t> </w:t>
      </w:r>
    </w:p>
    <w:p w14:paraId="772F777E" w14:textId="77777777" w:rsidR="006B42D9" w:rsidRDefault="00E94686">
      <w:r>
        <w:t>Finansējuma saņēmēja pienākums ir uzkrāt datus saskaņā ar Eiropas Parlamenta un Padomes 2021. gada 24. jūnija Regulas (ES) Nr. 2021/1057, ar ko izveido Eiropas Sociālo fondu Plus (ESF+) un atceļ Regulu (ES) Nr. 1296/2013, I pielikumu un normatīvajiem aktiem, kas nosaka Eiropas Savienības fondu projektu pārbaužu veikšanas kārtību 2021.-2027. gada plānošanas periodā. Uzkrātie dati par projekta dalībniekiem tiks iesniegti Eiropas Komisijai.</w:t>
      </w:r>
    </w:p>
    <w:p w14:paraId="730817E1" w14:textId="77777777" w:rsidR="006B42D9" w:rsidRDefault="006B42D9"/>
    <w:p w14:paraId="7B7D893A" w14:textId="739F0D87" w:rsidR="006B42D9" w:rsidRDefault="00E94686">
      <w:r>
        <w:t>4.3.4.</w:t>
      </w:r>
      <w:r w:rsidR="009E44E4">
        <w:t>9</w:t>
      </w:r>
      <w:r>
        <w:t>. pasākumam ir tieša ietekme uz horizontālo principu ”Vienlīdzība, iekļaušana, nediskriminācija un pamattiesību ievērošana” un tā ietvaros ir plānotas specifiskas darbības horizontālā principa veicināšanai, nosakot pienākumu uzkrāt datus par projekta ietekmi uz šādiem rādītājiem:</w:t>
      </w:r>
    </w:p>
    <w:p w14:paraId="060540F8" w14:textId="391B1FB4" w:rsidR="006B42D9" w:rsidRPr="00951E0D" w:rsidRDefault="008D6D3E">
      <w:r w:rsidRPr="00951E0D">
        <w:t>1</w:t>
      </w:r>
      <w:r w:rsidR="00E94686" w:rsidRPr="00951E0D">
        <w:t>) personu, kuras ir piedalījušās mācību programmās, kurās ir integrēti jautājumi par dzimumu līdztiesības, personu ar invaliditāti vienlīdzīgu iespēju, vecuma nediskriminācijas, etniskās un citiem piederības un pamattiesību jautājumiem, skaits; </w:t>
      </w:r>
    </w:p>
    <w:p w14:paraId="129A2331" w14:textId="77777777" w:rsidR="006B42D9" w:rsidRDefault="00E94686">
      <w:r w:rsidRPr="00951E0D">
        <w:t>3) konsultatīva rakstura pasākumu par dzimumu līdztiesības, personu ar invaliditāti vienlīdzīgu iespēju, vecuma nediskriminācijas, etniskās un citiem piederības un pamattiesību jautājumiem, skaits.</w:t>
      </w:r>
    </w:p>
    <w:p w14:paraId="3E44D203" w14:textId="77777777" w:rsidR="006B42D9" w:rsidRDefault="006B42D9"/>
    <w:p w14:paraId="48FB5EA9" w14:textId="77777777" w:rsidR="006B42D9" w:rsidRDefault="006B42D9"/>
    <w:p w14:paraId="6E6B49A4" w14:textId="21F89E8E" w:rsidR="006B42D9" w:rsidRDefault="00E94686">
      <w:r w:rsidRPr="00951E0D">
        <w:t>Projektā noteikts, ka 4.3.4.</w:t>
      </w:r>
      <w:r w:rsidR="00951E0D" w:rsidRPr="00951E0D">
        <w:t>9</w:t>
      </w:r>
      <w:r w:rsidRPr="00951E0D">
        <w:t>. pasākuma ietvaros plānots attiecināt tiešās attiecināmās izmaksas un netiešās attiecināmās izmaksas. Projektā noteikts, ka 4.3.4.</w:t>
      </w:r>
      <w:r w:rsidR="00951E0D" w:rsidRPr="00951E0D">
        <w:t>9</w:t>
      </w:r>
      <w:r w:rsidRPr="00951E0D">
        <w:t>. pasākuma ietvaros netiešās attiecināmās izmaksas plāno kā vienu izmaksu pozīciju, piemērojot netiešo izmaksu vienoto likmi 7% apmērā no projekta tiešajām attiecināmajām izmaksām saskaņā ar Regulas Nr. 2021/1060 54. panta a) apakšpunktu.</w:t>
      </w:r>
    </w:p>
    <w:p w14:paraId="0A173FF0" w14:textId="77777777" w:rsidR="006B42D9" w:rsidRPr="008D6D3E" w:rsidRDefault="006B42D9"/>
    <w:p w14:paraId="38FC8413" w14:textId="77777777" w:rsidR="006B42D9" w:rsidRDefault="00E94686">
      <w:r w:rsidRPr="008D6D3E">
        <w:lastRenderedPageBreak/>
        <w:t>Atbildīgā iestāde izstrādā vienas vienības izmaksu standarta likmes aprēķina un piemērošanas metodiku personāla izmaksām (turpmāk – personāla izmaksu metodika) un saskaņo to ar vadošo iestādi.</w:t>
      </w:r>
    </w:p>
    <w:p w14:paraId="4A6394FC" w14:textId="77777777" w:rsidR="006B42D9" w:rsidRDefault="006B42D9"/>
    <w:p w14:paraId="69575758" w14:textId="77777777" w:rsidR="006B42D9" w:rsidRPr="008D6D3E" w:rsidRDefault="00E94686">
      <w:r w:rsidRPr="008D6D3E">
        <w:t xml:space="preserve">Līdz brīdim, kad tiks apstiprināta personāla izmaksu metodika, personāla izmaksas ir attiecināmas saskaņā ar Valsts un pašvaldību institūciju amatpersonu un darbinieku atlīdzības likumu, izņemot virsstundas. </w:t>
      </w:r>
      <w:proofErr w:type="gramStart"/>
      <w:r w:rsidRPr="008D6D3E">
        <w:t xml:space="preserve">Ja personāla iesaiste projektā ir nodrošināta saskaņā ar </w:t>
      </w:r>
      <w:proofErr w:type="spellStart"/>
      <w:r w:rsidRPr="008D6D3E">
        <w:t>daļlaika</w:t>
      </w:r>
      <w:proofErr w:type="spellEnd"/>
      <w:r w:rsidRPr="008D6D3E">
        <w:t xml:space="preserve"> izmaksu attiecināmības principu, attiecināma</w:t>
      </w:r>
      <w:proofErr w:type="gramEnd"/>
      <w:r w:rsidRPr="008D6D3E">
        <w:t xml:space="preserve"> ir ne mazāka kā 30% noslodze.</w:t>
      </w:r>
    </w:p>
    <w:p w14:paraId="56BEB5F7" w14:textId="77777777" w:rsidR="006B42D9" w:rsidRPr="008D6D3E" w:rsidRDefault="00E94686">
      <w:r w:rsidRPr="008D6D3E">
        <w:t>Redzes korekcijas līdzekļu kompensācija finansējuma saņēmēja projekta vadības un īstenošanas personālam ir attiecināma, ja tā nav iekļauta veselības apdrošināšanas izmaksās.</w:t>
      </w:r>
    </w:p>
    <w:p w14:paraId="6D57AD41" w14:textId="77777777" w:rsidR="006B42D9" w:rsidRPr="008D6D3E" w:rsidRDefault="00E94686">
      <w:r w:rsidRPr="008D6D3E">
        <w:t xml:space="preserve">Līdz personāla izmaksu metodikas apstiprināšanai ir attiecināmas finansējuma saņēmēja projekta vadības un īstenošanas personāla veselības apdrošināšanas izmaksas. </w:t>
      </w:r>
      <w:proofErr w:type="gramStart"/>
      <w:r w:rsidRPr="008D6D3E">
        <w:t>Ja personāls ir nodarbināts</w:t>
      </w:r>
      <w:proofErr w:type="gramEnd"/>
      <w:r w:rsidRPr="008D6D3E">
        <w:t xml:space="preserve"> normālu darba laiku, veselības apdrošināšanas izmaksas ir attiecināmas 100% apmērā. </w:t>
      </w:r>
      <w:proofErr w:type="gramStart"/>
      <w:r w:rsidRPr="008D6D3E">
        <w:t>Ja personāls ir nodarbināts</w:t>
      </w:r>
      <w:proofErr w:type="gramEnd"/>
      <w:r w:rsidRPr="008D6D3E">
        <w:t xml:space="preserve"> nepilnu darba laiku, veselības apdrošināšanas izmaksas nosakāmas atbilstoši nepilnā darba laika noslodzei. Ja personāla atlīdzībai piemēro </w:t>
      </w:r>
      <w:proofErr w:type="spellStart"/>
      <w:r w:rsidRPr="008D6D3E">
        <w:t>daļlaika</w:t>
      </w:r>
      <w:proofErr w:type="spellEnd"/>
      <w:r w:rsidRPr="008D6D3E">
        <w:t xml:space="preserve"> izmaksu attiecināmības principu, veselības apdrošināšanas izmaksas nosakāmas atbilstoši </w:t>
      </w:r>
      <w:proofErr w:type="spellStart"/>
      <w:r w:rsidRPr="008D6D3E">
        <w:t>daļlaika</w:t>
      </w:r>
      <w:proofErr w:type="spellEnd"/>
      <w:r w:rsidRPr="008D6D3E">
        <w:t xml:space="preserve"> noslodzei. Veselības apdrošināšanas izmaksas ir attiecināmas tikai laikposmā, kad personāls ir nodarbināts projektā.</w:t>
      </w:r>
    </w:p>
    <w:p w14:paraId="579E7F5D" w14:textId="77777777" w:rsidR="006B42D9" w:rsidRDefault="00E94686">
      <w:r w:rsidRPr="008D6D3E">
        <w:t>Pēc personāla izmaksu metodikas apstiprināšanas, finansējuma saņēmēja projekta īstenošanas personāla un vadības personāla izmaksas tiek attiecinātas, piemērojot personāla izmaksu metodiku.</w:t>
      </w:r>
    </w:p>
    <w:p w14:paraId="609B3A25" w14:textId="77777777" w:rsidR="006B42D9" w:rsidRDefault="006B42D9"/>
    <w:p w14:paraId="3E12940E" w14:textId="737065CA" w:rsidR="006B42D9" w:rsidRDefault="00E94686">
      <w:r w:rsidRPr="008D6D3E">
        <w:t>Tāpat Kultūras ministrija ir izvērtējusi nepieciešamību noteikt finansējuma saņēmējam pienākumu izstrādāt izmaksu un ieguvumu analīzi un, ņemot vērā to, ka 4.3.4.</w:t>
      </w:r>
      <w:r w:rsidR="00951E0D">
        <w:t>9</w:t>
      </w:r>
      <w:r w:rsidRPr="008D6D3E">
        <w:t xml:space="preserve">. pasākuma mērķis </w:t>
      </w:r>
      <w:r w:rsidR="008D6D3E" w:rsidRPr="008D6D3E">
        <w:t xml:space="preserve">ir attīstīt reģionālo nevalstisko organizāciju atbalsta centru potenciālu stiprināt pilsoniskās sabiedrības organizāciju efektīvu un ilgtspējīgu darbību sabiedrības noturības prasmju attīstībai </w:t>
      </w:r>
      <w:r w:rsidRPr="008D6D3E">
        <w:t>un arī projekta iesniedzējs Sabiedrības integrācijas fonds savā darbībā ievēro visas sabiedrības integrācijas procesu pilnveidošanu, kas kā mērķis ir izvirzīts Sabiedrības integrācijas fonda likuma 3. panta pirmajā daļā, nosakot, ka Sabiedrības integrācijas fonda mērķis ir atbilstoši attīstības plānošanas dokumentiem finansiāli atbalstīt un veicināt sabiedrības integrāciju un Sabiedrības integrācijas fonds atbalsta arī publiskā un nevalstiskā sektora attīstības programmu un projektu īstenošanu secināms, ka 4.3.4.</w:t>
      </w:r>
      <w:r w:rsidR="008D6D3E">
        <w:t>9</w:t>
      </w:r>
      <w:r w:rsidRPr="008D6D3E">
        <w:t>. pasākuma mērķis ir sociāls, kam nav nepieciešams veikt izvērtējumu par izmaksu un ieguvumu analīzi un vērtēt izdevīgumu pamatojoties un finanšu un ekonomisko analīzi.</w:t>
      </w:r>
    </w:p>
    <w:p w14:paraId="69C6A52A" w14:textId="77777777" w:rsidR="006B42D9" w:rsidRDefault="006B42D9"/>
    <w:p w14:paraId="4F55AC3E" w14:textId="77777777" w:rsidR="00951E0D" w:rsidRDefault="00951E0D"/>
    <w:p w14:paraId="49D92F2D" w14:textId="77777777" w:rsidR="00951E0D" w:rsidRDefault="00951E0D" w:rsidP="00951E0D">
      <w:r>
        <w:t xml:space="preserve">Ierobežotas projekta iesnieguma atlases ietvaros projekta iesniegums tiks vērtēts atbilstoši specifiskajam atbilstības vērtēšanas kritērijam “Projektā ir paredzētas </w:t>
      </w:r>
      <w:r>
        <w:lastRenderedPageBreak/>
        <w:t>darbības, kas veicina horizontālā principa ”Vienlīdzība, iekļaušana, nediskriminācija un pamattiesību ievērošana” īstenošanu.” </w:t>
      </w:r>
    </w:p>
    <w:p w14:paraId="1A1F9D10" w14:textId="77777777" w:rsidR="00951E0D" w:rsidRDefault="00951E0D"/>
    <w:p w14:paraId="04BB326C" w14:textId="2BF3AC50" w:rsidR="006B42D9" w:rsidRDefault="00E94686">
      <w:r>
        <w:t>Projekts nosaka izmaksas horizontālā principa “Vienlīdzība, iekļaušana, nediskriminācija un pamattiesību ievērošana” darbību īstenošanas izmaksas saskaņā ar Labklājības ministrijas izstrādātajām vadlīnijām “Horizontālais princips “Vienlīdzība, iekļaušana, nediskriminācija un pamattiesību ievērošana” vadlīnijas īstenošanai un uzraudzībai (2021-2027)”, nodrošinot, ka projekta ietvaros  tiek paredzētas: </w:t>
      </w:r>
    </w:p>
    <w:p w14:paraId="1C8A1DDF" w14:textId="77777777" w:rsidR="006B42D9" w:rsidRDefault="00E94686">
      <w:r>
        <w:t>1. vismaz piecas vispārīgās darbības, kas attiecas uz projekta vadību un īstenošanu un kas kopumā veicina vienlīdzīgas iespējas un pamattiesību ievērošanu, kas  aptver trīs jomas:  </w:t>
      </w:r>
    </w:p>
    <w:p w14:paraId="79A8B62C" w14:textId="77777777" w:rsidR="006B42D9" w:rsidRDefault="00E94686">
      <w:r>
        <w:t>- informāciju un publicitāti; </w:t>
      </w:r>
    </w:p>
    <w:p w14:paraId="58619EBC" w14:textId="77777777" w:rsidR="006B42D9" w:rsidRDefault="00E94686">
      <w:r>
        <w:t>- projekta vadību un īstenošanu; </w:t>
      </w:r>
    </w:p>
    <w:p w14:paraId="341369BD" w14:textId="77777777" w:rsidR="006B42D9" w:rsidRDefault="00E94686">
      <w:r>
        <w:t>- publiskos iepirkumus (ja attiecināms);</w:t>
      </w:r>
    </w:p>
    <w:p w14:paraId="67CC5086" w14:textId="77777777" w:rsidR="006B42D9" w:rsidRDefault="006B42D9"/>
    <w:p w14:paraId="243A0EDB" w14:textId="77777777" w:rsidR="006B42D9" w:rsidRDefault="00E94686">
      <w:r>
        <w:t>2. vismaz trīs specifiskās darbības, kas īpaši veicina vienlīdzīgas iespējas, iekļaušanu, nediskrimināciju un pamattiesību ievērošanu, iekļaušanu. </w:t>
      </w:r>
    </w:p>
    <w:p w14:paraId="6258A9CB" w14:textId="77777777" w:rsidR="006B42D9" w:rsidRDefault="006B42D9"/>
    <w:p w14:paraId="7E76C076" w14:textId="3E26402B" w:rsidR="006B42D9" w:rsidRDefault="00E94686">
      <w:r>
        <w:t xml:space="preserve">3. ir paredzēti vismaz </w:t>
      </w:r>
      <w:r w:rsidR="00234061">
        <w:t>div</w:t>
      </w:r>
      <w:r w:rsidR="00896A09">
        <w:t>i</w:t>
      </w:r>
      <w:r>
        <w:t xml:space="preserve"> horizontālā principa “Vienlīdzība, iekļaušana, nediskriminācija un pamattiesību ievērošana” rādītāji: </w:t>
      </w:r>
    </w:p>
    <w:p w14:paraId="392C02DF" w14:textId="77777777" w:rsidR="006B42D9" w:rsidRDefault="00E94686">
      <w:r>
        <w:t>- personu, kuras ir piedalījušās mācību programmās, kurās ir integrēti jautājumi par dzimumu līdztiesības, personu ar invaliditāti vienlīdzīgu iespēju, vecuma nediskriminācijas, etniskās un citiem piederības un pamattiesību jautājumiem, skaits;</w:t>
      </w:r>
    </w:p>
    <w:p w14:paraId="6876FB7A" w14:textId="77777777" w:rsidR="006B42D9" w:rsidRDefault="00E94686">
      <w:r>
        <w:t>- konsultatīva rakstura pasākumu skaits par dzimumu līdztiesības, personu ar invaliditāti vienlīdzīgu iespēju, vecuma nediskriminācijas, etniskās un citiem piederības un pamattiesību jautājumiem.</w:t>
      </w:r>
    </w:p>
    <w:p w14:paraId="379A68B0" w14:textId="77777777" w:rsidR="006B42D9" w:rsidRDefault="00E94686">
      <w:r>
        <w:t> </w:t>
      </w:r>
    </w:p>
    <w:p w14:paraId="0B1F4496" w14:textId="77777777" w:rsidR="006B42D9" w:rsidRDefault="006B42D9"/>
    <w:p w14:paraId="4996F5C0" w14:textId="77777777" w:rsidR="006B42D9" w:rsidRDefault="00E94686">
      <w:r>
        <w:t>Projekts nosaka, ka ir atbalstāma sociāli atbildīga un inovatīva iepirkuma īstenošana un vides prasību integrācija preču un pakalpojumu  iepirkumos (zaļais publiskais iepirkums). </w:t>
      </w:r>
    </w:p>
    <w:p w14:paraId="3F5E96A0" w14:textId="77777777" w:rsidR="006B42D9" w:rsidRDefault="00E94686">
      <w:r>
        <w:t> </w:t>
      </w:r>
    </w:p>
    <w:p w14:paraId="2AC543BB" w14:textId="77777777" w:rsidR="006B42D9" w:rsidRDefault="00E94686">
      <w:r>
        <w:t xml:space="preserve">Finansējuma saņēmējs un sadarbības partneris nodrošina interešu konflikta neesību saskaņā ar Eiropas Parlamenta un Padomes 2018. gada 18. jūlija Regulas (ES, </w:t>
      </w:r>
      <w:proofErr w:type="spellStart"/>
      <w:r>
        <w:t>Euratom</w:t>
      </w:r>
      <w:proofErr w:type="spellEnd"/>
      <w:r>
        <w:t xml:space="preserve">) Nr. 2018/1046 par finanšu noteikumiem, ko piemēro Savienības vispārējam budžetam, ar kuru groza Regulas (ES) Nr. 1296/2013, (ES) Nr. 1301/2013, (ES) Nr. 1303/2013, (ES) Nr. 1304/2013, (ES) Nr. 1309/2013, (ES) Nr. 1316/2013, (ES) Nr. 223/2014, (ES) Nr. 283/2014 un Lēmumu Nr. 541/2014/ES un atceļ Regulu (ES, </w:t>
      </w:r>
      <w:proofErr w:type="spellStart"/>
      <w:r>
        <w:t>Euratom</w:t>
      </w:r>
      <w:proofErr w:type="spellEnd"/>
      <w:r>
        <w:t>) Nr. 966/2012, 61. panta prasībām. Finansējuma saņēmējs un sadarbības partneris paraksta interešu konflikta neesības apliecinājumu. Lai nodrošinātu interešu konflikta riska neiestāšanos, finansējumā saņēmējs izstrādās kārtību, kur tiks aprakstīta interešu konflikta riska izvērtēšanas un uzraudzības kārtība un rīcība, ja tiek konstatēts interešu konflikts.</w:t>
      </w:r>
    </w:p>
    <w:p w14:paraId="6CC41AF9" w14:textId="77777777" w:rsidR="006B42D9" w:rsidRDefault="006B42D9"/>
    <w:p w14:paraId="3A4BAB95" w14:textId="5C7899EB" w:rsidR="006B42D9" w:rsidRDefault="00E94686">
      <w:r>
        <w:t>4.3.4.</w:t>
      </w:r>
      <w:r w:rsidR="00AB0F77">
        <w:t>9</w:t>
      </w:r>
      <w:r>
        <w:t>. pasākuma ietvaros netiek sniegts valsts atbalsts komercdarbībai, jo 4.3.4.</w:t>
      </w:r>
      <w:r w:rsidR="00AB0F77">
        <w:t>9</w:t>
      </w:r>
      <w:r>
        <w:t xml:space="preserve">. pasākuma ietvaros plānotajām darbībām nav saimnieciska rakstura un netiek sniegtas priekšrocības, radot konkurences ierobežojumus. </w:t>
      </w:r>
    </w:p>
    <w:p w14:paraId="0C99806B" w14:textId="77777777" w:rsidR="008D6D3E" w:rsidRDefault="008D6D3E"/>
    <w:p w14:paraId="040246FA" w14:textId="77777777" w:rsidR="006B42D9" w:rsidRDefault="00E94686">
      <w:pPr>
        <w:spacing w:before="90" w:after="90"/>
      </w:pPr>
      <w:r>
        <w:rPr>
          <w:b/>
        </w:rPr>
        <w:t>Vai ir izvērtēti alternatīvie risinājumi?</w:t>
      </w:r>
    </w:p>
    <w:p w14:paraId="6669A21C" w14:textId="77777777" w:rsidR="006B42D9" w:rsidRDefault="00E94686">
      <w:r>
        <w:t>Nē</w:t>
      </w:r>
    </w:p>
    <w:p w14:paraId="7D7CFC56" w14:textId="77777777" w:rsidR="006B42D9" w:rsidRDefault="00E94686">
      <w:pPr>
        <w:spacing w:before="90" w:after="90"/>
      </w:pPr>
      <w:r>
        <w:rPr>
          <w:b/>
        </w:rPr>
        <w:t>Vai ir izvērtēts prasību un izmaksu samērīgums pret ieguvumiem?</w:t>
      </w:r>
    </w:p>
    <w:p w14:paraId="3EE96C39" w14:textId="77777777" w:rsidR="006B42D9" w:rsidRDefault="00E94686">
      <w:r>
        <w:t>Nē</w:t>
      </w:r>
    </w:p>
    <w:p w14:paraId="1BE99FA6" w14:textId="77777777" w:rsidR="006B42D9" w:rsidRDefault="00E94686">
      <w:pPr>
        <w:spacing w:before="270" w:after="180"/>
      </w:pPr>
      <w:r>
        <w:rPr>
          <w:b/>
          <w:sz w:val="30"/>
        </w:rPr>
        <w:t>1.4. Izvērtējumi/pētījumi, kas pamato TA nepieciešamību</w:t>
      </w:r>
    </w:p>
    <w:p w14:paraId="6C9E6E15" w14:textId="77777777" w:rsidR="006B42D9" w:rsidRDefault="00E94686">
      <w:pPr>
        <w:spacing w:before="270" w:after="180"/>
      </w:pPr>
      <w:r>
        <w:rPr>
          <w:b/>
          <w:sz w:val="30"/>
        </w:rPr>
        <w:t>1.5. Pēcpārbaudes (</w:t>
      </w:r>
      <w:proofErr w:type="spellStart"/>
      <w:r>
        <w:rPr>
          <w:b/>
          <w:sz w:val="30"/>
        </w:rPr>
        <w:t>ex-post)</w:t>
      </w:r>
      <w:proofErr w:type="spellEnd"/>
      <w:r>
        <w:rPr>
          <w:b/>
          <w:sz w:val="30"/>
        </w:rPr>
        <w:t xml:space="preserve"> izvērtējums</w:t>
      </w:r>
    </w:p>
    <w:p w14:paraId="14F2001C" w14:textId="77777777" w:rsidR="006B42D9" w:rsidRDefault="00E94686">
      <w:pPr>
        <w:spacing w:before="90" w:after="90"/>
      </w:pPr>
      <w:r>
        <w:rPr>
          <w:b/>
        </w:rPr>
        <w:t>Vai tiks veikts?</w:t>
      </w:r>
    </w:p>
    <w:p w14:paraId="22FAFBFA" w14:textId="77777777" w:rsidR="006B42D9" w:rsidRDefault="00E94686">
      <w:r>
        <w:t>Nē</w:t>
      </w:r>
    </w:p>
    <w:p w14:paraId="11A17C71" w14:textId="77777777" w:rsidR="006B42D9" w:rsidRDefault="00E94686">
      <w:pPr>
        <w:spacing w:before="270" w:after="180"/>
      </w:pPr>
      <w:r>
        <w:rPr>
          <w:b/>
          <w:sz w:val="30"/>
        </w:rPr>
        <w:t>1.6. Cita informācija</w:t>
      </w:r>
    </w:p>
    <w:p w14:paraId="7B2FADA0" w14:textId="77777777" w:rsidR="006B42D9" w:rsidRDefault="00E94686">
      <w:r>
        <w:t>-</w:t>
      </w:r>
    </w:p>
    <w:p w14:paraId="6F24C444" w14:textId="77777777" w:rsidR="006B42D9" w:rsidRDefault="00E94686">
      <w:pPr>
        <w:spacing w:before="180"/>
      </w:pPr>
      <w:r>
        <w:rPr>
          <w:b/>
          <w:sz w:val="32"/>
        </w:rPr>
        <w:t>2. Tiesību akta projekta ietekmējamās sabiedrības grupas, ietekme uz tautsaimniecības attīstību un administratīvo slogu</w:t>
      </w:r>
    </w:p>
    <w:p w14:paraId="708A4954" w14:textId="77777777" w:rsidR="006B42D9" w:rsidRDefault="00E94686">
      <w:pPr>
        <w:spacing w:before="90" w:after="90"/>
      </w:pPr>
      <w:r>
        <w:rPr>
          <w:b/>
        </w:rPr>
        <w:t>Vai projekts skar šo jomu?</w:t>
      </w:r>
    </w:p>
    <w:p w14:paraId="042C19A0" w14:textId="77777777" w:rsidR="006B42D9" w:rsidRDefault="00E94686">
      <w:r>
        <w:t>Jā</w:t>
      </w:r>
    </w:p>
    <w:p w14:paraId="2ADFB737" w14:textId="77777777" w:rsidR="006B42D9" w:rsidRDefault="00E94686">
      <w:pPr>
        <w:spacing w:before="270" w:after="180"/>
      </w:pPr>
      <w:r>
        <w:rPr>
          <w:b/>
          <w:sz w:val="30"/>
        </w:rPr>
        <w:t>2.1. Sabiedrības grupas, kuras tiesiskais regulējums ietekmē, vai varētu ietekmēt</w:t>
      </w:r>
    </w:p>
    <w:p w14:paraId="63847346" w14:textId="77777777" w:rsidR="006B42D9" w:rsidRDefault="00E94686">
      <w:pPr>
        <w:spacing w:before="90" w:after="90"/>
      </w:pPr>
      <w:r>
        <w:rPr>
          <w:b/>
        </w:rPr>
        <w:t>Fiziskās personas</w:t>
      </w:r>
    </w:p>
    <w:p w14:paraId="6B472A68" w14:textId="2D073A2B" w:rsidR="006B42D9" w:rsidRDefault="00E94686">
      <w:r>
        <w:t>4.3.4.</w:t>
      </w:r>
      <w:r w:rsidR="00BB03CD">
        <w:t>9</w:t>
      </w:r>
      <w:r>
        <w:t xml:space="preserve">. pasākuma mērķa grupa ir </w:t>
      </w:r>
      <w:r w:rsidR="00BB03CD">
        <w:rPr>
          <w:szCs w:val="28"/>
        </w:rPr>
        <w:t xml:space="preserve">biedrības un nodibinājumi, </w:t>
      </w:r>
      <w:r w:rsidR="00BB03CD" w:rsidRPr="00896CDD">
        <w:rPr>
          <w:szCs w:val="28"/>
        </w:rPr>
        <w:t>reģionāl</w:t>
      </w:r>
      <w:r w:rsidR="00BB03CD">
        <w:rPr>
          <w:szCs w:val="28"/>
        </w:rPr>
        <w:t>ie</w:t>
      </w:r>
      <w:r w:rsidR="00BB03CD" w:rsidRPr="00896CDD">
        <w:rPr>
          <w:szCs w:val="28"/>
        </w:rPr>
        <w:t xml:space="preserve"> nevalstisk</w:t>
      </w:r>
      <w:r w:rsidR="00BB03CD">
        <w:rPr>
          <w:szCs w:val="28"/>
        </w:rPr>
        <w:t xml:space="preserve">o </w:t>
      </w:r>
      <w:r w:rsidR="00BB03CD" w:rsidRPr="00896CDD">
        <w:rPr>
          <w:szCs w:val="28"/>
        </w:rPr>
        <w:t>organizāciju atbalsta centr</w:t>
      </w:r>
      <w:r w:rsidR="00BB03CD">
        <w:rPr>
          <w:szCs w:val="28"/>
        </w:rPr>
        <w:t xml:space="preserve">i, </w:t>
      </w:r>
      <w:r w:rsidR="00BB03CD" w:rsidRPr="00896CDD">
        <w:rPr>
          <w:szCs w:val="28"/>
        </w:rPr>
        <w:t>mazaizsargāt</w:t>
      </w:r>
      <w:r w:rsidR="00BB03CD">
        <w:rPr>
          <w:szCs w:val="28"/>
        </w:rPr>
        <w:t>ie</w:t>
      </w:r>
      <w:r w:rsidR="00BB03CD" w:rsidRPr="00896CDD">
        <w:rPr>
          <w:szCs w:val="28"/>
        </w:rPr>
        <w:t xml:space="preserve"> vai sociālās atstumtības riskam pakļaut</w:t>
      </w:r>
      <w:r w:rsidR="00BB03CD">
        <w:rPr>
          <w:szCs w:val="28"/>
        </w:rPr>
        <w:t xml:space="preserve">ie </w:t>
      </w:r>
      <w:r w:rsidR="00BB03CD" w:rsidRPr="00896CDD">
        <w:rPr>
          <w:szCs w:val="28"/>
        </w:rPr>
        <w:t>iedzīvotāj</w:t>
      </w:r>
      <w:r w:rsidR="00BB03CD">
        <w:rPr>
          <w:szCs w:val="28"/>
        </w:rPr>
        <w:t>i.</w:t>
      </w:r>
    </w:p>
    <w:p w14:paraId="2432B9CA" w14:textId="77777777" w:rsidR="006B42D9" w:rsidRDefault="00E94686">
      <w:pPr>
        <w:spacing w:before="90" w:after="90"/>
      </w:pPr>
      <w:r>
        <w:rPr>
          <w:b/>
        </w:rPr>
        <w:t>Ietekmes apraksts</w:t>
      </w:r>
    </w:p>
    <w:p w14:paraId="0B8691A4" w14:textId="1413F6CD" w:rsidR="00BB03CD" w:rsidRDefault="00E94686">
      <w:r>
        <w:t>4.3.4.</w:t>
      </w:r>
      <w:r w:rsidR="00BB03CD">
        <w:t>9</w:t>
      </w:r>
      <w:r>
        <w:t xml:space="preserve">. pasākuma ietvaros </w:t>
      </w:r>
      <w:r w:rsidRPr="00951E0D">
        <w:t xml:space="preserve">tiks stiprināta mērķa grupas </w:t>
      </w:r>
      <w:r w:rsidR="00DB7730" w:rsidRPr="00951E0D">
        <w:t>kapacitāte sabiedrības noturības prasmju veicināšanai.</w:t>
      </w:r>
    </w:p>
    <w:p w14:paraId="135FFFB4" w14:textId="77777777" w:rsidR="00BB03CD" w:rsidRDefault="00BB03CD"/>
    <w:p w14:paraId="43607BCC" w14:textId="77777777" w:rsidR="006B42D9" w:rsidRDefault="00E94686">
      <w:pPr>
        <w:spacing w:before="90" w:after="90"/>
      </w:pPr>
      <w:r>
        <w:rPr>
          <w:b/>
        </w:rPr>
        <w:t>Juridiskās personas</w:t>
      </w:r>
    </w:p>
    <w:p w14:paraId="084F2512" w14:textId="77777777" w:rsidR="00AB0F77" w:rsidRDefault="00E94686" w:rsidP="00AB0F77">
      <w:r>
        <w:t>Kultūras ministrija kā par 4.3.4.</w:t>
      </w:r>
      <w:r w:rsidR="00AB0F77">
        <w:t>9</w:t>
      </w:r>
      <w:r>
        <w:t xml:space="preserve">. pasākumu atbildīgā ministrija. Projekta iesnieguma iesniedzējs </w:t>
      </w:r>
      <w:r w:rsidRPr="0083773A">
        <w:t xml:space="preserve">Sabiedrības integrācijas fonds un sadarbības partneri – </w:t>
      </w:r>
      <w:r w:rsidR="00AB0F77" w:rsidRPr="0083773A">
        <w:t xml:space="preserve">biedrība “Latvijas Pilsoniskā alianse”, biedrība “Zemgales NVO centrs”, biedrība “Dienvidlatgales NVO </w:t>
      </w:r>
      <w:r w:rsidR="00AB0F77" w:rsidRPr="0083773A">
        <w:lastRenderedPageBreak/>
        <w:t>atbalsta centrs”, biedrība “Kurzemes NVO centrs” un nodibinājums “Valmieras novada fonds”.</w:t>
      </w:r>
    </w:p>
    <w:p w14:paraId="5109FDBA" w14:textId="5333E118" w:rsidR="006B42D9" w:rsidRDefault="00E94686" w:rsidP="00AB0F77">
      <w:r>
        <w:rPr>
          <w:b/>
        </w:rPr>
        <w:t>Ietekmes apraksts</w:t>
      </w:r>
    </w:p>
    <w:p w14:paraId="0757A602" w14:textId="77777777" w:rsidR="006B42D9" w:rsidRDefault="00E94686">
      <w:r w:rsidRPr="00951E0D">
        <w:t>Sabiedrības integrācijas fonds pildīs finansējuma saņēmēja funkcijas</w:t>
      </w:r>
      <w:proofErr w:type="gramStart"/>
      <w:r>
        <w:t xml:space="preserve"> un</w:t>
      </w:r>
      <w:proofErr w:type="gramEnd"/>
      <w:r>
        <w:t xml:space="preserve"> Kultūras ministrija pildīs atbildīgās iestādes funkcijas. Vērtējot Projekta īstenošanas ietekmi uz administratīvajām procedūrām, ir identificējams administratīvā sloga palielinājums potenciālajiem finansējuma saņēmējiem un Eiropas Savienības fondu vadībā iesaistītajām institūcijām.</w:t>
      </w:r>
    </w:p>
    <w:p w14:paraId="4888619C" w14:textId="77777777" w:rsidR="006B42D9" w:rsidRDefault="00E94686">
      <w:pPr>
        <w:spacing w:before="270" w:after="180"/>
      </w:pPr>
      <w:r>
        <w:rPr>
          <w:b/>
          <w:sz w:val="30"/>
        </w:rPr>
        <w:t>2.2. Tiesiskā regulējuma ietekme uz tautsaimniecību</w:t>
      </w:r>
    </w:p>
    <w:p w14:paraId="33157111" w14:textId="77777777" w:rsidR="006B42D9" w:rsidRDefault="00E94686">
      <w:pPr>
        <w:spacing w:before="90" w:after="90"/>
      </w:pPr>
      <w:r>
        <w:rPr>
          <w:b/>
        </w:rPr>
        <w:t>Vai projekts skar šo jomu?</w:t>
      </w:r>
    </w:p>
    <w:p w14:paraId="589F7962" w14:textId="77777777" w:rsidR="006B42D9" w:rsidRDefault="00E94686">
      <w:r>
        <w:t>Nē</w:t>
      </w:r>
    </w:p>
    <w:p w14:paraId="79008721" w14:textId="77777777" w:rsidR="006B42D9" w:rsidRDefault="00E94686">
      <w:pPr>
        <w:spacing w:before="270" w:after="180"/>
      </w:pPr>
      <w:r>
        <w:rPr>
          <w:b/>
          <w:sz w:val="30"/>
        </w:rPr>
        <w:t>2.3. Administratīvo izmaksu monetārs novērtējums</w:t>
      </w:r>
    </w:p>
    <w:p w14:paraId="244CF7B9" w14:textId="77777777" w:rsidR="006B42D9" w:rsidRDefault="00E94686">
      <w:pPr>
        <w:spacing w:before="90" w:after="90"/>
      </w:pPr>
      <w:r>
        <w:rPr>
          <w:b/>
        </w:rPr>
        <w:t>Vai projekts skar šo jomu?</w:t>
      </w:r>
    </w:p>
    <w:p w14:paraId="37C83C10" w14:textId="77777777" w:rsidR="006B42D9" w:rsidRDefault="00E94686">
      <w:r>
        <w:t>Nē</w:t>
      </w:r>
    </w:p>
    <w:p w14:paraId="17B51312" w14:textId="77777777" w:rsidR="006B42D9" w:rsidRDefault="00E94686">
      <w:pPr>
        <w:spacing w:before="270" w:after="180"/>
      </w:pPr>
      <w:r>
        <w:rPr>
          <w:b/>
          <w:sz w:val="30"/>
        </w:rPr>
        <w:t>2.4. Atbilstības izmaksu monetārs novērtējums</w:t>
      </w:r>
    </w:p>
    <w:p w14:paraId="18A96A8A" w14:textId="77777777" w:rsidR="006B42D9" w:rsidRDefault="00E94686">
      <w:pPr>
        <w:spacing w:before="90" w:after="90"/>
      </w:pPr>
      <w:r>
        <w:rPr>
          <w:b/>
        </w:rPr>
        <w:t>Vai projekts skar šo jomu?</w:t>
      </w:r>
    </w:p>
    <w:p w14:paraId="3668F12C" w14:textId="77777777" w:rsidR="006B42D9" w:rsidRDefault="00E94686">
      <w:r>
        <w:t>Nē</w:t>
      </w:r>
    </w:p>
    <w:p w14:paraId="72F8F1EF" w14:textId="77777777" w:rsidR="006B42D9" w:rsidRDefault="00E94686">
      <w:pPr>
        <w:spacing w:before="180"/>
      </w:pPr>
      <w:r>
        <w:rPr>
          <w:b/>
          <w:sz w:val="32"/>
        </w:rPr>
        <w:t>3. Tiesību akta projekta ietekme uz valsts budžetu un pašvaldību budžetiem</w:t>
      </w:r>
    </w:p>
    <w:p w14:paraId="53664C91" w14:textId="77777777" w:rsidR="006B42D9" w:rsidRDefault="00E94686">
      <w:pPr>
        <w:spacing w:before="90" w:after="90"/>
      </w:pPr>
      <w:r>
        <w:rPr>
          <w:b/>
        </w:rPr>
        <w:t>Vai projekts skar šo jomu?</w:t>
      </w:r>
    </w:p>
    <w:p w14:paraId="16944280" w14:textId="77777777" w:rsidR="006B42D9" w:rsidRDefault="00E94686">
      <w:r>
        <w:t>Jā</w:t>
      </w:r>
    </w:p>
    <w:p w14:paraId="50C7EA96" w14:textId="77777777" w:rsidR="006B42D9" w:rsidRDefault="006B42D9"/>
    <w:tbl>
      <w:tblPr>
        <w:tblStyle w:val="a"/>
        <w:tblW w:w="9642" w:type="dxa"/>
        <w:tblInd w:w="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1206"/>
        <w:gridCol w:w="1206"/>
        <w:gridCol w:w="1205"/>
        <w:gridCol w:w="1205"/>
        <w:gridCol w:w="1205"/>
        <w:gridCol w:w="1205"/>
        <w:gridCol w:w="1205"/>
        <w:gridCol w:w="1205"/>
      </w:tblGrid>
      <w:tr w:rsidR="006B42D9" w14:paraId="75C488C0" w14:textId="77777777">
        <w:tc>
          <w:tcPr>
            <w:tcW w:w="1205" w:type="dxa"/>
            <w:vMerge w:val="restart"/>
            <w:shd w:val="clear" w:color="auto" w:fill="FFFFFF"/>
            <w:noWrap/>
            <w:tcMar>
              <w:top w:w="75" w:type="dxa"/>
              <w:left w:w="75" w:type="dxa"/>
              <w:bottom w:w="75" w:type="dxa"/>
              <w:right w:w="75" w:type="dxa"/>
            </w:tcMar>
            <w:vAlign w:val="bottom"/>
          </w:tcPr>
          <w:p w14:paraId="207F5E47" w14:textId="77777777" w:rsidR="006B42D9" w:rsidRDefault="00E94686">
            <w:pPr>
              <w:spacing w:line="240" w:lineRule="auto"/>
              <w:jc w:val="left"/>
            </w:pPr>
            <w:r>
              <w:rPr>
                <w:b/>
                <w:sz w:val="24"/>
              </w:rPr>
              <w:t>Rādītājs</w:t>
            </w:r>
          </w:p>
        </w:tc>
        <w:tc>
          <w:tcPr>
            <w:tcW w:w="2410" w:type="dxa"/>
            <w:gridSpan w:val="2"/>
            <w:vMerge w:val="restart"/>
            <w:shd w:val="clear" w:color="auto" w:fill="FFFFFF"/>
            <w:noWrap/>
            <w:tcMar>
              <w:top w:w="75" w:type="dxa"/>
              <w:left w:w="75" w:type="dxa"/>
              <w:bottom w:w="75" w:type="dxa"/>
              <w:right w:w="75" w:type="dxa"/>
            </w:tcMar>
            <w:vAlign w:val="center"/>
          </w:tcPr>
          <w:p w14:paraId="51507ED7" w14:textId="4A4C8E75" w:rsidR="006B42D9" w:rsidRDefault="00E94686">
            <w:pPr>
              <w:spacing w:line="240" w:lineRule="auto"/>
              <w:jc w:val="center"/>
            </w:pPr>
            <w:r>
              <w:rPr>
                <w:b/>
                <w:sz w:val="24"/>
              </w:rPr>
              <w:t>202</w:t>
            </w:r>
            <w:r w:rsidR="00AB0F77">
              <w:rPr>
                <w:b/>
                <w:sz w:val="24"/>
              </w:rPr>
              <w:t>4</w:t>
            </w:r>
          </w:p>
        </w:tc>
        <w:tc>
          <w:tcPr>
            <w:tcW w:w="6025" w:type="dxa"/>
            <w:gridSpan w:val="5"/>
            <w:shd w:val="clear" w:color="auto" w:fill="FFFFFF"/>
            <w:noWrap/>
            <w:tcMar>
              <w:top w:w="75" w:type="dxa"/>
              <w:left w:w="75" w:type="dxa"/>
              <w:bottom w:w="75" w:type="dxa"/>
              <w:right w:w="75" w:type="dxa"/>
            </w:tcMar>
            <w:vAlign w:val="center"/>
          </w:tcPr>
          <w:p w14:paraId="181EEF06" w14:textId="77777777" w:rsidR="006B42D9" w:rsidRDefault="00E94686">
            <w:pPr>
              <w:spacing w:line="240" w:lineRule="auto"/>
              <w:jc w:val="center"/>
            </w:pPr>
            <w:r>
              <w:rPr>
                <w:b/>
                <w:sz w:val="24"/>
              </w:rPr>
              <w:t>Turpmākie trīs gadi (</w:t>
            </w:r>
            <w:r>
              <w:rPr>
                <w:b/>
                <w:i/>
                <w:sz w:val="24"/>
              </w:rPr>
              <w:t>euro</w:t>
            </w:r>
            <w:r>
              <w:rPr>
                <w:b/>
                <w:sz w:val="24"/>
              </w:rPr>
              <w:t>)</w:t>
            </w:r>
          </w:p>
        </w:tc>
      </w:tr>
      <w:tr w:rsidR="006B42D9" w14:paraId="699875F1" w14:textId="77777777">
        <w:tc>
          <w:tcPr>
            <w:tcW w:w="1205" w:type="dxa"/>
            <w:vMerge/>
            <w:shd w:val="clear" w:color="auto" w:fill="FFFFFF"/>
            <w:noWrap/>
            <w:tcMar>
              <w:top w:w="75" w:type="dxa"/>
              <w:left w:w="75" w:type="dxa"/>
              <w:bottom w:w="75" w:type="dxa"/>
              <w:right w:w="75" w:type="dxa"/>
            </w:tcMar>
            <w:vAlign w:val="center"/>
          </w:tcPr>
          <w:p w14:paraId="0FBF2A36" w14:textId="77777777" w:rsidR="006B42D9" w:rsidRDefault="006B42D9">
            <w:pPr>
              <w:spacing w:line="240" w:lineRule="auto"/>
            </w:pPr>
          </w:p>
        </w:tc>
        <w:tc>
          <w:tcPr>
            <w:tcW w:w="2410" w:type="dxa"/>
            <w:gridSpan w:val="2"/>
            <w:vMerge/>
            <w:shd w:val="clear" w:color="auto" w:fill="FFFFFF"/>
            <w:noWrap/>
            <w:tcMar>
              <w:top w:w="75" w:type="dxa"/>
              <w:left w:w="75" w:type="dxa"/>
              <w:bottom w:w="75" w:type="dxa"/>
              <w:right w:w="75" w:type="dxa"/>
            </w:tcMar>
            <w:vAlign w:val="center"/>
          </w:tcPr>
          <w:p w14:paraId="33C301DB" w14:textId="77777777" w:rsidR="006B42D9" w:rsidRDefault="006B42D9">
            <w:pPr>
              <w:spacing w:line="240" w:lineRule="auto"/>
            </w:pPr>
          </w:p>
        </w:tc>
        <w:tc>
          <w:tcPr>
            <w:tcW w:w="2410" w:type="dxa"/>
            <w:gridSpan w:val="2"/>
            <w:shd w:val="clear" w:color="auto" w:fill="FFFFFF"/>
            <w:noWrap/>
            <w:tcMar>
              <w:top w:w="75" w:type="dxa"/>
              <w:left w:w="75" w:type="dxa"/>
              <w:bottom w:w="75" w:type="dxa"/>
              <w:right w:w="75" w:type="dxa"/>
            </w:tcMar>
            <w:vAlign w:val="center"/>
          </w:tcPr>
          <w:p w14:paraId="5B2AF6CA" w14:textId="4686E3C9" w:rsidR="006B42D9" w:rsidRDefault="00E94686">
            <w:pPr>
              <w:spacing w:line="240" w:lineRule="auto"/>
              <w:jc w:val="center"/>
            </w:pPr>
            <w:r>
              <w:rPr>
                <w:b/>
                <w:sz w:val="24"/>
              </w:rPr>
              <w:t>202</w:t>
            </w:r>
            <w:r w:rsidR="00AB0F77">
              <w:rPr>
                <w:b/>
                <w:sz w:val="24"/>
              </w:rPr>
              <w:t>5</w:t>
            </w:r>
          </w:p>
        </w:tc>
        <w:tc>
          <w:tcPr>
            <w:tcW w:w="2410" w:type="dxa"/>
            <w:gridSpan w:val="2"/>
            <w:shd w:val="clear" w:color="auto" w:fill="FFFFFF"/>
            <w:noWrap/>
            <w:tcMar>
              <w:top w:w="75" w:type="dxa"/>
              <w:left w:w="75" w:type="dxa"/>
              <w:bottom w:w="75" w:type="dxa"/>
              <w:right w:w="75" w:type="dxa"/>
            </w:tcMar>
            <w:vAlign w:val="center"/>
          </w:tcPr>
          <w:p w14:paraId="1A4A811F" w14:textId="2C27A775" w:rsidR="006B42D9" w:rsidRDefault="00E94686">
            <w:pPr>
              <w:spacing w:line="240" w:lineRule="auto"/>
              <w:jc w:val="center"/>
            </w:pPr>
            <w:r>
              <w:rPr>
                <w:b/>
                <w:sz w:val="24"/>
              </w:rPr>
              <w:t>202</w:t>
            </w:r>
            <w:r w:rsidR="00AB0F77">
              <w:rPr>
                <w:b/>
                <w:sz w:val="24"/>
              </w:rPr>
              <w:t>6</w:t>
            </w:r>
          </w:p>
        </w:tc>
        <w:tc>
          <w:tcPr>
            <w:tcW w:w="1205" w:type="dxa"/>
            <w:shd w:val="clear" w:color="auto" w:fill="FFFFFF"/>
            <w:noWrap/>
            <w:tcMar>
              <w:top w:w="75" w:type="dxa"/>
              <w:left w:w="75" w:type="dxa"/>
              <w:bottom w:w="75" w:type="dxa"/>
              <w:right w:w="75" w:type="dxa"/>
            </w:tcMar>
            <w:vAlign w:val="center"/>
          </w:tcPr>
          <w:p w14:paraId="37483EA8" w14:textId="022DF9DE" w:rsidR="006B42D9" w:rsidRDefault="00E94686">
            <w:pPr>
              <w:spacing w:line="240" w:lineRule="auto"/>
              <w:jc w:val="center"/>
            </w:pPr>
            <w:r>
              <w:rPr>
                <w:b/>
                <w:sz w:val="24"/>
              </w:rPr>
              <w:t>202</w:t>
            </w:r>
            <w:r w:rsidR="00AB0F77">
              <w:rPr>
                <w:b/>
                <w:sz w:val="24"/>
              </w:rPr>
              <w:t>7</w:t>
            </w:r>
          </w:p>
        </w:tc>
      </w:tr>
      <w:tr w:rsidR="006B42D9" w14:paraId="3EA085FA" w14:textId="77777777">
        <w:tc>
          <w:tcPr>
            <w:tcW w:w="1205" w:type="dxa"/>
            <w:vMerge/>
            <w:shd w:val="clear" w:color="auto" w:fill="FFFFFF"/>
            <w:noWrap/>
            <w:tcMar>
              <w:top w:w="75" w:type="dxa"/>
              <w:left w:w="75" w:type="dxa"/>
              <w:bottom w:w="75" w:type="dxa"/>
              <w:right w:w="75" w:type="dxa"/>
            </w:tcMar>
            <w:vAlign w:val="center"/>
          </w:tcPr>
          <w:p w14:paraId="18F18043"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03D2386D" w14:textId="77777777" w:rsidR="006B42D9" w:rsidRDefault="00E94686">
            <w:pPr>
              <w:spacing w:line="240" w:lineRule="auto"/>
              <w:jc w:val="left"/>
            </w:pPr>
            <w:r>
              <w:rPr>
                <w:b/>
                <w:sz w:val="24"/>
              </w:rPr>
              <w:t>saskaņā ar valsts budžetu kārtējam gadam</w:t>
            </w:r>
          </w:p>
        </w:tc>
        <w:tc>
          <w:tcPr>
            <w:tcW w:w="1205" w:type="dxa"/>
            <w:shd w:val="clear" w:color="auto" w:fill="FFFFFF"/>
            <w:noWrap/>
            <w:tcMar>
              <w:top w:w="75" w:type="dxa"/>
              <w:left w:w="75" w:type="dxa"/>
              <w:bottom w:w="75" w:type="dxa"/>
              <w:right w:w="75" w:type="dxa"/>
            </w:tcMar>
            <w:vAlign w:val="center"/>
          </w:tcPr>
          <w:p w14:paraId="32CB55E9" w14:textId="77777777" w:rsidR="006B42D9" w:rsidRDefault="00E94686">
            <w:pPr>
              <w:spacing w:line="240" w:lineRule="auto"/>
              <w:jc w:val="left"/>
            </w:pPr>
            <w:r>
              <w:rPr>
                <w:b/>
                <w:sz w:val="24"/>
              </w:rPr>
              <w:t>izmaiņas kārtējā gadā, salīdzinot ar valsts budžetu kārtējam gadam</w:t>
            </w:r>
          </w:p>
        </w:tc>
        <w:tc>
          <w:tcPr>
            <w:tcW w:w="1205" w:type="dxa"/>
            <w:shd w:val="clear" w:color="auto" w:fill="FFFFFF"/>
            <w:noWrap/>
            <w:tcMar>
              <w:top w:w="75" w:type="dxa"/>
              <w:left w:w="75" w:type="dxa"/>
              <w:bottom w:w="75" w:type="dxa"/>
              <w:right w:w="75" w:type="dxa"/>
            </w:tcMar>
            <w:vAlign w:val="center"/>
          </w:tcPr>
          <w:p w14:paraId="3DAB9AD8" w14:textId="77777777" w:rsidR="006B42D9" w:rsidRDefault="00E94686">
            <w:pPr>
              <w:spacing w:line="240" w:lineRule="auto"/>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14:paraId="7B602A14" w14:textId="77777777" w:rsidR="006B42D9" w:rsidRDefault="00E94686">
            <w:pPr>
              <w:spacing w:line="240" w:lineRule="auto"/>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14:paraId="333B4AC3" w14:textId="77777777" w:rsidR="006B42D9" w:rsidRDefault="00E94686">
            <w:pPr>
              <w:spacing w:line="240" w:lineRule="auto"/>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14:paraId="04AFDA4F" w14:textId="77777777" w:rsidR="006B42D9" w:rsidRDefault="00E94686">
            <w:pPr>
              <w:spacing w:line="240" w:lineRule="auto"/>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14:paraId="6956B667" w14:textId="77777777" w:rsidR="006B42D9" w:rsidRDefault="00E94686">
            <w:pPr>
              <w:spacing w:line="240" w:lineRule="auto"/>
              <w:jc w:val="left"/>
            </w:pPr>
            <w:r>
              <w:rPr>
                <w:b/>
                <w:sz w:val="24"/>
              </w:rPr>
              <w:t>izmaiņas, salīdzinot ar vidēja termiņa budžeta ietvaru</w:t>
            </w:r>
          </w:p>
        </w:tc>
      </w:tr>
      <w:tr w:rsidR="006B42D9" w14:paraId="01212A91" w14:textId="77777777">
        <w:tc>
          <w:tcPr>
            <w:tcW w:w="1205" w:type="dxa"/>
            <w:shd w:val="clear" w:color="auto" w:fill="FFFFFF"/>
            <w:noWrap/>
            <w:tcMar>
              <w:top w:w="75" w:type="dxa"/>
              <w:left w:w="75" w:type="dxa"/>
              <w:bottom w:w="75" w:type="dxa"/>
              <w:right w:w="75" w:type="dxa"/>
            </w:tcMar>
            <w:vAlign w:val="center"/>
          </w:tcPr>
          <w:p w14:paraId="2F40ABA0" w14:textId="77777777" w:rsidR="006B42D9" w:rsidRDefault="00E94686">
            <w:pPr>
              <w:spacing w:line="240" w:lineRule="auto"/>
            </w:pPr>
            <w:r>
              <w:rPr>
                <w:b/>
                <w:sz w:val="24"/>
              </w:rPr>
              <w:t>1</w:t>
            </w:r>
          </w:p>
        </w:tc>
        <w:tc>
          <w:tcPr>
            <w:tcW w:w="1205" w:type="dxa"/>
            <w:shd w:val="clear" w:color="auto" w:fill="FFFFFF"/>
            <w:noWrap/>
            <w:tcMar>
              <w:top w:w="75" w:type="dxa"/>
              <w:left w:w="75" w:type="dxa"/>
              <w:bottom w:w="75" w:type="dxa"/>
              <w:right w:w="75" w:type="dxa"/>
            </w:tcMar>
            <w:vAlign w:val="center"/>
          </w:tcPr>
          <w:p w14:paraId="5F04F0DD" w14:textId="77777777" w:rsidR="006B42D9" w:rsidRDefault="00E94686">
            <w:pPr>
              <w:spacing w:line="240" w:lineRule="auto"/>
              <w:jc w:val="right"/>
            </w:pPr>
            <w:r>
              <w:rPr>
                <w:b/>
                <w:sz w:val="24"/>
              </w:rPr>
              <w:t>2</w:t>
            </w:r>
          </w:p>
        </w:tc>
        <w:tc>
          <w:tcPr>
            <w:tcW w:w="1205" w:type="dxa"/>
            <w:shd w:val="clear" w:color="auto" w:fill="FFFFFF"/>
            <w:noWrap/>
            <w:tcMar>
              <w:top w:w="75" w:type="dxa"/>
              <w:left w:w="75" w:type="dxa"/>
              <w:bottom w:w="75" w:type="dxa"/>
              <w:right w:w="75" w:type="dxa"/>
            </w:tcMar>
            <w:vAlign w:val="center"/>
          </w:tcPr>
          <w:p w14:paraId="5B994306" w14:textId="77777777" w:rsidR="006B42D9" w:rsidRDefault="00E94686">
            <w:pPr>
              <w:spacing w:line="240" w:lineRule="auto"/>
              <w:jc w:val="right"/>
            </w:pPr>
            <w:r>
              <w:rPr>
                <w:b/>
                <w:sz w:val="24"/>
              </w:rPr>
              <w:t>3</w:t>
            </w:r>
          </w:p>
        </w:tc>
        <w:tc>
          <w:tcPr>
            <w:tcW w:w="1205" w:type="dxa"/>
            <w:shd w:val="clear" w:color="auto" w:fill="FFFFFF"/>
            <w:noWrap/>
            <w:tcMar>
              <w:top w:w="75" w:type="dxa"/>
              <w:left w:w="75" w:type="dxa"/>
              <w:bottom w:w="75" w:type="dxa"/>
              <w:right w:w="75" w:type="dxa"/>
            </w:tcMar>
            <w:vAlign w:val="center"/>
          </w:tcPr>
          <w:p w14:paraId="21AD16DF" w14:textId="77777777" w:rsidR="006B42D9" w:rsidRDefault="00E94686">
            <w:pPr>
              <w:spacing w:line="240" w:lineRule="auto"/>
              <w:jc w:val="right"/>
            </w:pPr>
            <w:r>
              <w:rPr>
                <w:b/>
                <w:sz w:val="24"/>
              </w:rPr>
              <w:t>4</w:t>
            </w:r>
          </w:p>
        </w:tc>
        <w:tc>
          <w:tcPr>
            <w:tcW w:w="1205" w:type="dxa"/>
            <w:shd w:val="clear" w:color="auto" w:fill="FFFFFF"/>
            <w:noWrap/>
            <w:tcMar>
              <w:top w:w="75" w:type="dxa"/>
              <w:left w:w="75" w:type="dxa"/>
              <w:bottom w:w="75" w:type="dxa"/>
              <w:right w:w="75" w:type="dxa"/>
            </w:tcMar>
            <w:vAlign w:val="center"/>
          </w:tcPr>
          <w:p w14:paraId="08532CC0" w14:textId="77777777" w:rsidR="006B42D9" w:rsidRDefault="00E94686">
            <w:pPr>
              <w:spacing w:line="240" w:lineRule="auto"/>
              <w:jc w:val="right"/>
            </w:pPr>
            <w:r>
              <w:rPr>
                <w:b/>
                <w:sz w:val="24"/>
              </w:rPr>
              <w:t>5</w:t>
            </w:r>
          </w:p>
        </w:tc>
        <w:tc>
          <w:tcPr>
            <w:tcW w:w="1205" w:type="dxa"/>
            <w:shd w:val="clear" w:color="auto" w:fill="FFFFFF"/>
            <w:noWrap/>
            <w:tcMar>
              <w:top w:w="75" w:type="dxa"/>
              <w:left w:w="75" w:type="dxa"/>
              <w:bottom w:w="75" w:type="dxa"/>
              <w:right w:w="75" w:type="dxa"/>
            </w:tcMar>
            <w:vAlign w:val="center"/>
          </w:tcPr>
          <w:p w14:paraId="79E87D04" w14:textId="77777777" w:rsidR="006B42D9" w:rsidRDefault="00E94686">
            <w:pPr>
              <w:spacing w:line="240" w:lineRule="auto"/>
              <w:jc w:val="right"/>
            </w:pPr>
            <w:r>
              <w:rPr>
                <w:b/>
                <w:sz w:val="24"/>
              </w:rPr>
              <w:t>6</w:t>
            </w:r>
          </w:p>
        </w:tc>
        <w:tc>
          <w:tcPr>
            <w:tcW w:w="1205" w:type="dxa"/>
            <w:shd w:val="clear" w:color="auto" w:fill="FFFFFF"/>
            <w:noWrap/>
            <w:tcMar>
              <w:top w:w="75" w:type="dxa"/>
              <w:left w:w="75" w:type="dxa"/>
              <w:bottom w:w="75" w:type="dxa"/>
              <w:right w:w="75" w:type="dxa"/>
            </w:tcMar>
            <w:vAlign w:val="center"/>
          </w:tcPr>
          <w:p w14:paraId="6710F64A" w14:textId="77777777" w:rsidR="006B42D9" w:rsidRDefault="00E94686">
            <w:pPr>
              <w:spacing w:line="240" w:lineRule="auto"/>
              <w:jc w:val="right"/>
            </w:pPr>
            <w:r>
              <w:rPr>
                <w:b/>
                <w:sz w:val="24"/>
              </w:rPr>
              <w:t>7</w:t>
            </w:r>
          </w:p>
        </w:tc>
        <w:tc>
          <w:tcPr>
            <w:tcW w:w="1205" w:type="dxa"/>
            <w:shd w:val="clear" w:color="auto" w:fill="FFFFFF"/>
            <w:noWrap/>
            <w:tcMar>
              <w:top w:w="75" w:type="dxa"/>
              <w:left w:w="75" w:type="dxa"/>
              <w:bottom w:w="75" w:type="dxa"/>
              <w:right w:w="75" w:type="dxa"/>
            </w:tcMar>
            <w:vAlign w:val="center"/>
          </w:tcPr>
          <w:p w14:paraId="10C56E32" w14:textId="77777777" w:rsidR="006B42D9" w:rsidRDefault="00E94686">
            <w:pPr>
              <w:spacing w:line="240" w:lineRule="auto"/>
              <w:jc w:val="right"/>
            </w:pPr>
            <w:r>
              <w:rPr>
                <w:b/>
                <w:sz w:val="24"/>
              </w:rPr>
              <w:t>8</w:t>
            </w:r>
          </w:p>
        </w:tc>
      </w:tr>
      <w:tr w:rsidR="006B42D9" w14:paraId="5EDBCE14" w14:textId="77777777">
        <w:tc>
          <w:tcPr>
            <w:tcW w:w="1205" w:type="dxa"/>
            <w:shd w:val="clear" w:color="auto" w:fill="FFFFFF"/>
            <w:noWrap/>
            <w:tcMar>
              <w:top w:w="75" w:type="dxa"/>
              <w:left w:w="75" w:type="dxa"/>
              <w:bottom w:w="75" w:type="dxa"/>
              <w:right w:w="75" w:type="dxa"/>
            </w:tcMar>
            <w:vAlign w:val="center"/>
          </w:tcPr>
          <w:p w14:paraId="706AAB34" w14:textId="77777777" w:rsidR="006B42D9" w:rsidRDefault="00E94686">
            <w:pPr>
              <w:spacing w:line="240" w:lineRule="auto"/>
              <w:rPr>
                <w:sz w:val="24"/>
              </w:rPr>
            </w:pPr>
            <w:r>
              <w:rPr>
                <w:sz w:val="24"/>
              </w:rPr>
              <w:t>1. Budžeta ieņēmumi</w:t>
            </w:r>
          </w:p>
        </w:tc>
        <w:tc>
          <w:tcPr>
            <w:tcW w:w="1205" w:type="dxa"/>
            <w:shd w:val="clear" w:color="auto" w:fill="FFFFFF"/>
            <w:noWrap/>
            <w:tcMar>
              <w:top w:w="75" w:type="dxa"/>
              <w:left w:w="75" w:type="dxa"/>
              <w:bottom w:w="75" w:type="dxa"/>
              <w:right w:w="75" w:type="dxa"/>
            </w:tcMar>
            <w:vAlign w:val="center"/>
          </w:tcPr>
          <w:p w14:paraId="4736E260"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F976541" w14:textId="718FACAD" w:rsidR="006B42D9" w:rsidRPr="001B0B83" w:rsidRDefault="001B0B83">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0E142311"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3591FC59" w14:textId="2B89D280" w:rsidR="006B42D9" w:rsidRPr="00AB0F77" w:rsidRDefault="001B0B83">
            <w:pPr>
              <w:spacing w:line="240" w:lineRule="auto"/>
              <w:jc w:val="right"/>
              <w:rPr>
                <w:highlight w:val="yellow"/>
              </w:rPr>
            </w:pPr>
            <w:r w:rsidRPr="004C2209">
              <w:rPr>
                <w:sz w:val="24"/>
              </w:rPr>
              <w:t>622 825</w:t>
            </w:r>
          </w:p>
        </w:tc>
        <w:tc>
          <w:tcPr>
            <w:tcW w:w="1205" w:type="dxa"/>
            <w:shd w:val="clear" w:color="auto" w:fill="FFFFFF"/>
            <w:noWrap/>
            <w:tcMar>
              <w:top w:w="75" w:type="dxa"/>
              <w:left w:w="75" w:type="dxa"/>
              <w:bottom w:w="75" w:type="dxa"/>
              <w:right w:w="75" w:type="dxa"/>
            </w:tcMar>
            <w:vAlign w:val="center"/>
          </w:tcPr>
          <w:p w14:paraId="3C8AAC83" w14:textId="77777777" w:rsidR="006B42D9" w:rsidRPr="0033539F" w:rsidRDefault="00E94686">
            <w:pPr>
              <w:spacing w:line="240" w:lineRule="auto"/>
              <w:jc w:val="right"/>
            </w:pPr>
            <w:r w:rsidRPr="0033539F">
              <w:rPr>
                <w:sz w:val="24"/>
              </w:rPr>
              <w:t>0</w:t>
            </w:r>
          </w:p>
        </w:tc>
        <w:tc>
          <w:tcPr>
            <w:tcW w:w="1205" w:type="dxa"/>
            <w:shd w:val="clear" w:color="auto" w:fill="FFFFFF"/>
            <w:noWrap/>
            <w:tcMar>
              <w:top w:w="75" w:type="dxa"/>
              <w:left w:w="75" w:type="dxa"/>
              <w:bottom w:w="75" w:type="dxa"/>
              <w:right w:w="75" w:type="dxa"/>
            </w:tcMar>
            <w:vAlign w:val="center"/>
          </w:tcPr>
          <w:p w14:paraId="2F08F0B0" w14:textId="6850DC2D" w:rsidR="006B42D9" w:rsidRPr="00AB0F77" w:rsidRDefault="0033539F">
            <w:pPr>
              <w:spacing w:line="240" w:lineRule="auto"/>
              <w:jc w:val="right"/>
              <w:rPr>
                <w:highlight w:val="yellow"/>
              </w:rPr>
            </w:pPr>
            <w:r w:rsidRPr="004C2209">
              <w:rPr>
                <w:sz w:val="24"/>
              </w:rPr>
              <w:t>622 825</w:t>
            </w:r>
          </w:p>
        </w:tc>
        <w:tc>
          <w:tcPr>
            <w:tcW w:w="1205" w:type="dxa"/>
            <w:shd w:val="clear" w:color="auto" w:fill="FFFFFF"/>
            <w:noWrap/>
            <w:tcMar>
              <w:top w:w="75" w:type="dxa"/>
              <w:left w:w="75" w:type="dxa"/>
              <w:bottom w:w="75" w:type="dxa"/>
              <w:right w:w="75" w:type="dxa"/>
            </w:tcMar>
            <w:vAlign w:val="center"/>
          </w:tcPr>
          <w:p w14:paraId="05065447" w14:textId="6DB28640" w:rsidR="006B42D9" w:rsidRPr="00AB0F77" w:rsidRDefault="0033539F">
            <w:pPr>
              <w:spacing w:line="240" w:lineRule="auto"/>
              <w:jc w:val="right"/>
              <w:rPr>
                <w:highlight w:val="yellow"/>
              </w:rPr>
            </w:pPr>
            <w:r w:rsidRPr="004C2209">
              <w:rPr>
                <w:sz w:val="24"/>
              </w:rPr>
              <w:t>622 825</w:t>
            </w:r>
          </w:p>
        </w:tc>
      </w:tr>
      <w:tr w:rsidR="006B42D9" w14:paraId="1422D3FF" w14:textId="77777777">
        <w:tc>
          <w:tcPr>
            <w:tcW w:w="1205" w:type="dxa"/>
            <w:shd w:val="clear" w:color="auto" w:fill="FFFFFF"/>
            <w:noWrap/>
            <w:tcMar>
              <w:top w:w="75" w:type="dxa"/>
              <w:left w:w="75" w:type="dxa"/>
              <w:bottom w:w="75" w:type="dxa"/>
              <w:right w:w="75" w:type="dxa"/>
            </w:tcMar>
            <w:vAlign w:val="center"/>
          </w:tcPr>
          <w:p w14:paraId="317DCE80" w14:textId="77777777" w:rsidR="006B42D9" w:rsidRDefault="00E94686">
            <w:pPr>
              <w:spacing w:line="240" w:lineRule="auto"/>
              <w:rPr>
                <w:sz w:val="24"/>
              </w:rPr>
            </w:pPr>
            <w:r>
              <w:rPr>
                <w:sz w:val="24"/>
              </w:rPr>
              <w:lastRenderedPageBreak/>
              <w:t>1.1. valsts pamatbudžets, tai skaitā ieņēmumi no maksas pakalpojumiem un citi pašu ieņēmumi</w:t>
            </w:r>
          </w:p>
        </w:tc>
        <w:tc>
          <w:tcPr>
            <w:tcW w:w="1205" w:type="dxa"/>
            <w:shd w:val="clear" w:color="auto" w:fill="FFFFFF"/>
            <w:noWrap/>
            <w:tcMar>
              <w:top w:w="75" w:type="dxa"/>
              <w:left w:w="75" w:type="dxa"/>
              <w:bottom w:w="75" w:type="dxa"/>
              <w:right w:w="75" w:type="dxa"/>
            </w:tcMar>
            <w:vAlign w:val="center"/>
          </w:tcPr>
          <w:p w14:paraId="4267DA4B"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52E4843" w14:textId="4BCF7010" w:rsidR="006B42D9" w:rsidRPr="001B0B83" w:rsidRDefault="001B0B83">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7B970415"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6B84A059" w14:textId="54326505" w:rsidR="006B42D9" w:rsidRPr="00AB0F77" w:rsidRDefault="001B0B83">
            <w:pPr>
              <w:spacing w:line="240" w:lineRule="auto"/>
              <w:jc w:val="right"/>
              <w:rPr>
                <w:highlight w:val="yellow"/>
              </w:rPr>
            </w:pPr>
            <w:r w:rsidRPr="004C2209">
              <w:rPr>
                <w:sz w:val="24"/>
              </w:rPr>
              <w:t>622 825</w:t>
            </w:r>
          </w:p>
        </w:tc>
        <w:tc>
          <w:tcPr>
            <w:tcW w:w="1205" w:type="dxa"/>
            <w:shd w:val="clear" w:color="auto" w:fill="FFFFFF"/>
            <w:noWrap/>
            <w:tcMar>
              <w:top w:w="75" w:type="dxa"/>
              <w:left w:w="75" w:type="dxa"/>
              <w:bottom w:w="75" w:type="dxa"/>
              <w:right w:w="75" w:type="dxa"/>
            </w:tcMar>
            <w:vAlign w:val="center"/>
          </w:tcPr>
          <w:p w14:paraId="5A0866F3" w14:textId="77777777" w:rsidR="006B42D9" w:rsidRPr="0033539F" w:rsidRDefault="00E94686">
            <w:pPr>
              <w:spacing w:line="240" w:lineRule="auto"/>
              <w:jc w:val="right"/>
            </w:pPr>
            <w:r w:rsidRPr="0033539F">
              <w:rPr>
                <w:sz w:val="24"/>
              </w:rPr>
              <w:t>0</w:t>
            </w:r>
          </w:p>
        </w:tc>
        <w:tc>
          <w:tcPr>
            <w:tcW w:w="1205" w:type="dxa"/>
            <w:shd w:val="clear" w:color="auto" w:fill="FFFFFF"/>
            <w:noWrap/>
            <w:tcMar>
              <w:top w:w="75" w:type="dxa"/>
              <w:left w:w="75" w:type="dxa"/>
              <w:bottom w:w="75" w:type="dxa"/>
              <w:right w:w="75" w:type="dxa"/>
            </w:tcMar>
            <w:vAlign w:val="center"/>
          </w:tcPr>
          <w:p w14:paraId="0F62526B" w14:textId="534BF7A3" w:rsidR="006B42D9" w:rsidRPr="00AB0F77" w:rsidRDefault="0033539F">
            <w:pPr>
              <w:spacing w:line="240" w:lineRule="auto"/>
              <w:jc w:val="right"/>
              <w:rPr>
                <w:highlight w:val="yellow"/>
              </w:rPr>
            </w:pPr>
            <w:r w:rsidRPr="004C2209">
              <w:rPr>
                <w:sz w:val="24"/>
              </w:rPr>
              <w:t>622 825</w:t>
            </w:r>
          </w:p>
        </w:tc>
        <w:tc>
          <w:tcPr>
            <w:tcW w:w="1205" w:type="dxa"/>
            <w:shd w:val="clear" w:color="auto" w:fill="FFFFFF"/>
            <w:noWrap/>
            <w:tcMar>
              <w:top w:w="75" w:type="dxa"/>
              <w:left w:w="75" w:type="dxa"/>
              <w:bottom w:w="75" w:type="dxa"/>
              <w:right w:w="75" w:type="dxa"/>
            </w:tcMar>
            <w:vAlign w:val="center"/>
          </w:tcPr>
          <w:p w14:paraId="4A009A0D" w14:textId="6709BBBD" w:rsidR="006B42D9" w:rsidRPr="00AB0F77" w:rsidRDefault="0033539F">
            <w:pPr>
              <w:spacing w:line="240" w:lineRule="auto"/>
              <w:jc w:val="right"/>
              <w:rPr>
                <w:highlight w:val="yellow"/>
              </w:rPr>
            </w:pPr>
            <w:r w:rsidRPr="004C2209">
              <w:rPr>
                <w:sz w:val="24"/>
              </w:rPr>
              <w:t>622 825</w:t>
            </w:r>
          </w:p>
        </w:tc>
      </w:tr>
      <w:tr w:rsidR="006B42D9" w14:paraId="5F0F209A" w14:textId="77777777">
        <w:tc>
          <w:tcPr>
            <w:tcW w:w="1205" w:type="dxa"/>
            <w:shd w:val="clear" w:color="auto" w:fill="FFFFFF"/>
            <w:noWrap/>
            <w:tcMar>
              <w:top w:w="75" w:type="dxa"/>
              <w:left w:w="75" w:type="dxa"/>
              <w:bottom w:w="75" w:type="dxa"/>
              <w:right w:w="75" w:type="dxa"/>
            </w:tcMar>
            <w:vAlign w:val="center"/>
          </w:tcPr>
          <w:p w14:paraId="172B8700" w14:textId="77777777" w:rsidR="006B42D9" w:rsidRDefault="00E94686">
            <w:pPr>
              <w:spacing w:line="240" w:lineRule="auto"/>
              <w:rPr>
                <w:sz w:val="24"/>
              </w:rPr>
            </w:pPr>
            <w:r>
              <w:rPr>
                <w:sz w:val="24"/>
              </w:rPr>
              <w:t>1.2. valsts speciālais budžets</w:t>
            </w:r>
          </w:p>
        </w:tc>
        <w:tc>
          <w:tcPr>
            <w:tcW w:w="1205" w:type="dxa"/>
            <w:shd w:val="clear" w:color="auto" w:fill="FFFFFF"/>
            <w:noWrap/>
            <w:tcMar>
              <w:top w:w="75" w:type="dxa"/>
              <w:left w:w="75" w:type="dxa"/>
              <w:bottom w:w="75" w:type="dxa"/>
              <w:right w:w="75" w:type="dxa"/>
            </w:tcMar>
            <w:vAlign w:val="center"/>
          </w:tcPr>
          <w:p w14:paraId="7BE6C8AA"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FAD0E67"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0D0E6DF2"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7D9C9F4C"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C982443"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3B40FB4"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DCB65D9" w14:textId="77777777" w:rsidR="006B42D9" w:rsidRDefault="00E94686">
            <w:pPr>
              <w:spacing w:line="240" w:lineRule="auto"/>
              <w:jc w:val="right"/>
            </w:pPr>
            <w:r>
              <w:rPr>
                <w:sz w:val="24"/>
              </w:rPr>
              <w:t>0</w:t>
            </w:r>
          </w:p>
        </w:tc>
      </w:tr>
      <w:tr w:rsidR="006B42D9" w14:paraId="7C0224FD" w14:textId="77777777">
        <w:tc>
          <w:tcPr>
            <w:tcW w:w="1205" w:type="dxa"/>
            <w:shd w:val="clear" w:color="auto" w:fill="FFFFFF"/>
            <w:noWrap/>
            <w:tcMar>
              <w:top w:w="75" w:type="dxa"/>
              <w:left w:w="75" w:type="dxa"/>
              <w:bottom w:w="75" w:type="dxa"/>
              <w:right w:w="75" w:type="dxa"/>
            </w:tcMar>
            <w:vAlign w:val="center"/>
          </w:tcPr>
          <w:p w14:paraId="6262ADED" w14:textId="77777777" w:rsidR="006B42D9" w:rsidRDefault="00E94686">
            <w:pPr>
              <w:spacing w:line="240" w:lineRule="auto"/>
              <w:rPr>
                <w:sz w:val="24"/>
              </w:rPr>
            </w:pPr>
            <w:r>
              <w:rPr>
                <w:sz w:val="24"/>
              </w:rPr>
              <w:t>1.3. pašvaldību budžets</w:t>
            </w:r>
          </w:p>
        </w:tc>
        <w:tc>
          <w:tcPr>
            <w:tcW w:w="1205" w:type="dxa"/>
            <w:shd w:val="clear" w:color="auto" w:fill="FFFFFF"/>
            <w:noWrap/>
            <w:tcMar>
              <w:top w:w="75" w:type="dxa"/>
              <w:left w:w="75" w:type="dxa"/>
              <w:bottom w:w="75" w:type="dxa"/>
              <w:right w:w="75" w:type="dxa"/>
            </w:tcMar>
            <w:vAlign w:val="center"/>
          </w:tcPr>
          <w:p w14:paraId="7EB75235"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9D9B7C9"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106C6FAA"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2B0497D6"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A41C6BB"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871D38A"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1CD4CA5" w14:textId="77777777" w:rsidR="006B42D9" w:rsidRDefault="00E94686">
            <w:pPr>
              <w:spacing w:line="240" w:lineRule="auto"/>
              <w:jc w:val="right"/>
            </w:pPr>
            <w:r>
              <w:rPr>
                <w:sz w:val="24"/>
              </w:rPr>
              <w:t>0</w:t>
            </w:r>
          </w:p>
        </w:tc>
      </w:tr>
      <w:tr w:rsidR="006B42D9" w14:paraId="5C03CF26" w14:textId="77777777">
        <w:tc>
          <w:tcPr>
            <w:tcW w:w="1205" w:type="dxa"/>
            <w:shd w:val="clear" w:color="auto" w:fill="FFFFFF"/>
            <w:noWrap/>
            <w:tcMar>
              <w:top w:w="75" w:type="dxa"/>
              <w:left w:w="75" w:type="dxa"/>
              <w:bottom w:w="75" w:type="dxa"/>
              <w:right w:w="75" w:type="dxa"/>
            </w:tcMar>
            <w:vAlign w:val="center"/>
          </w:tcPr>
          <w:p w14:paraId="7951EFF3" w14:textId="77777777" w:rsidR="006B42D9" w:rsidRDefault="00E94686">
            <w:pPr>
              <w:spacing w:line="240" w:lineRule="auto"/>
              <w:rPr>
                <w:sz w:val="24"/>
              </w:rPr>
            </w:pPr>
            <w:r>
              <w:rPr>
                <w:sz w:val="24"/>
              </w:rPr>
              <w:t>2. Budžeta izdevumi</w:t>
            </w:r>
          </w:p>
        </w:tc>
        <w:tc>
          <w:tcPr>
            <w:tcW w:w="1205" w:type="dxa"/>
            <w:shd w:val="clear" w:color="auto" w:fill="FFFFFF"/>
            <w:noWrap/>
            <w:tcMar>
              <w:top w:w="75" w:type="dxa"/>
              <w:left w:w="75" w:type="dxa"/>
              <w:bottom w:w="75" w:type="dxa"/>
              <w:right w:w="75" w:type="dxa"/>
            </w:tcMar>
            <w:vAlign w:val="center"/>
          </w:tcPr>
          <w:p w14:paraId="576F28CC"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E7D0D1F" w14:textId="6F36C439" w:rsidR="006B42D9" w:rsidRPr="001B0B83" w:rsidRDefault="001B0B83">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7E6D577E"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43C278EE" w14:textId="4E27E18F" w:rsidR="006B42D9" w:rsidRPr="00AB0F77" w:rsidRDefault="0033539F">
            <w:pPr>
              <w:spacing w:line="240" w:lineRule="auto"/>
              <w:jc w:val="right"/>
              <w:rPr>
                <w:highlight w:val="yellow"/>
              </w:rPr>
            </w:pPr>
            <w:r w:rsidRPr="004C2209">
              <w:rPr>
                <w:sz w:val="24"/>
              </w:rPr>
              <w:t>732 735</w:t>
            </w:r>
          </w:p>
        </w:tc>
        <w:tc>
          <w:tcPr>
            <w:tcW w:w="1205" w:type="dxa"/>
            <w:shd w:val="clear" w:color="auto" w:fill="FFFFFF"/>
            <w:noWrap/>
            <w:tcMar>
              <w:top w:w="75" w:type="dxa"/>
              <w:left w:w="75" w:type="dxa"/>
              <w:bottom w:w="75" w:type="dxa"/>
              <w:right w:w="75" w:type="dxa"/>
            </w:tcMar>
            <w:vAlign w:val="center"/>
          </w:tcPr>
          <w:p w14:paraId="16A61B8E" w14:textId="77777777" w:rsidR="006B42D9" w:rsidRPr="0033539F" w:rsidRDefault="00E94686">
            <w:pPr>
              <w:spacing w:line="240" w:lineRule="auto"/>
              <w:jc w:val="right"/>
            </w:pPr>
            <w:r w:rsidRPr="0033539F">
              <w:rPr>
                <w:sz w:val="24"/>
              </w:rPr>
              <w:t>0</w:t>
            </w:r>
          </w:p>
        </w:tc>
        <w:tc>
          <w:tcPr>
            <w:tcW w:w="1205" w:type="dxa"/>
            <w:shd w:val="clear" w:color="auto" w:fill="FFFFFF"/>
            <w:noWrap/>
            <w:tcMar>
              <w:top w:w="75" w:type="dxa"/>
              <w:left w:w="75" w:type="dxa"/>
              <w:bottom w:w="75" w:type="dxa"/>
              <w:right w:w="75" w:type="dxa"/>
            </w:tcMar>
            <w:vAlign w:val="center"/>
          </w:tcPr>
          <w:p w14:paraId="7D7BC8EF" w14:textId="3FCD1B7E" w:rsidR="006B42D9" w:rsidRPr="0033539F" w:rsidRDefault="0033539F">
            <w:pPr>
              <w:spacing w:line="240" w:lineRule="auto"/>
              <w:jc w:val="right"/>
            </w:pPr>
            <w:r w:rsidRPr="0033539F">
              <w:rPr>
                <w:sz w:val="24"/>
              </w:rPr>
              <w:t>732 735</w:t>
            </w:r>
          </w:p>
        </w:tc>
        <w:tc>
          <w:tcPr>
            <w:tcW w:w="1205" w:type="dxa"/>
            <w:shd w:val="clear" w:color="auto" w:fill="FFFFFF"/>
            <w:noWrap/>
            <w:tcMar>
              <w:top w:w="75" w:type="dxa"/>
              <w:left w:w="75" w:type="dxa"/>
              <w:bottom w:w="75" w:type="dxa"/>
              <w:right w:w="75" w:type="dxa"/>
            </w:tcMar>
            <w:vAlign w:val="center"/>
          </w:tcPr>
          <w:p w14:paraId="10D87B6D" w14:textId="73368B73" w:rsidR="006B42D9" w:rsidRPr="00AB0F77" w:rsidRDefault="0033539F">
            <w:pPr>
              <w:spacing w:line="240" w:lineRule="auto"/>
              <w:jc w:val="right"/>
              <w:rPr>
                <w:highlight w:val="yellow"/>
              </w:rPr>
            </w:pPr>
            <w:r w:rsidRPr="004C2209">
              <w:rPr>
                <w:sz w:val="24"/>
              </w:rPr>
              <w:t>732 735</w:t>
            </w:r>
          </w:p>
        </w:tc>
      </w:tr>
      <w:tr w:rsidR="006B42D9" w14:paraId="27BD8075" w14:textId="77777777">
        <w:tc>
          <w:tcPr>
            <w:tcW w:w="1205" w:type="dxa"/>
            <w:shd w:val="clear" w:color="auto" w:fill="FFFFFF"/>
            <w:noWrap/>
            <w:tcMar>
              <w:top w:w="75" w:type="dxa"/>
              <w:left w:w="75" w:type="dxa"/>
              <w:bottom w:w="75" w:type="dxa"/>
              <w:right w:w="75" w:type="dxa"/>
            </w:tcMar>
            <w:vAlign w:val="center"/>
          </w:tcPr>
          <w:p w14:paraId="192EDABF" w14:textId="77777777" w:rsidR="006B42D9" w:rsidRDefault="00E94686">
            <w:pPr>
              <w:spacing w:line="240" w:lineRule="auto"/>
              <w:rPr>
                <w:sz w:val="24"/>
              </w:rPr>
            </w:pPr>
            <w:r>
              <w:rPr>
                <w:sz w:val="24"/>
              </w:rPr>
              <w:t>2.1. valsts pamatbudžets</w:t>
            </w:r>
          </w:p>
        </w:tc>
        <w:tc>
          <w:tcPr>
            <w:tcW w:w="1205" w:type="dxa"/>
            <w:shd w:val="clear" w:color="auto" w:fill="FFFFFF"/>
            <w:noWrap/>
            <w:tcMar>
              <w:top w:w="75" w:type="dxa"/>
              <w:left w:w="75" w:type="dxa"/>
              <w:bottom w:w="75" w:type="dxa"/>
              <w:right w:w="75" w:type="dxa"/>
            </w:tcMar>
            <w:vAlign w:val="center"/>
          </w:tcPr>
          <w:p w14:paraId="358A811E"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D882A6D" w14:textId="21AB7CF6" w:rsidR="006B42D9" w:rsidRPr="001B0B83" w:rsidRDefault="001B0B83">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0BD058DD"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52EDD1C7" w14:textId="3BD1BCD4" w:rsidR="006B42D9" w:rsidRPr="00AB0F77" w:rsidRDefault="0033539F">
            <w:pPr>
              <w:spacing w:line="240" w:lineRule="auto"/>
              <w:jc w:val="right"/>
              <w:rPr>
                <w:highlight w:val="yellow"/>
              </w:rPr>
            </w:pPr>
            <w:r w:rsidRPr="004C2209">
              <w:rPr>
                <w:sz w:val="24"/>
              </w:rPr>
              <w:t>732 735</w:t>
            </w:r>
          </w:p>
        </w:tc>
        <w:tc>
          <w:tcPr>
            <w:tcW w:w="1205" w:type="dxa"/>
            <w:shd w:val="clear" w:color="auto" w:fill="FFFFFF"/>
            <w:noWrap/>
            <w:tcMar>
              <w:top w:w="75" w:type="dxa"/>
              <w:left w:w="75" w:type="dxa"/>
              <w:bottom w:w="75" w:type="dxa"/>
              <w:right w:w="75" w:type="dxa"/>
            </w:tcMar>
            <w:vAlign w:val="center"/>
          </w:tcPr>
          <w:p w14:paraId="0895A1AD" w14:textId="77777777" w:rsidR="006B42D9" w:rsidRPr="0033539F" w:rsidRDefault="00E94686">
            <w:pPr>
              <w:spacing w:line="240" w:lineRule="auto"/>
              <w:jc w:val="right"/>
            </w:pPr>
            <w:r w:rsidRPr="0033539F">
              <w:rPr>
                <w:sz w:val="24"/>
              </w:rPr>
              <w:t>0</w:t>
            </w:r>
          </w:p>
        </w:tc>
        <w:tc>
          <w:tcPr>
            <w:tcW w:w="1205" w:type="dxa"/>
            <w:shd w:val="clear" w:color="auto" w:fill="FFFFFF"/>
            <w:noWrap/>
            <w:tcMar>
              <w:top w:w="75" w:type="dxa"/>
              <w:left w:w="75" w:type="dxa"/>
              <w:bottom w:w="75" w:type="dxa"/>
              <w:right w:w="75" w:type="dxa"/>
            </w:tcMar>
            <w:vAlign w:val="center"/>
          </w:tcPr>
          <w:p w14:paraId="6F683047" w14:textId="4DAB37E5" w:rsidR="006B42D9" w:rsidRPr="0033539F" w:rsidRDefault="0033539F">
            <w:pPr>
              <w:spacing w:line="240" w:lineRule="auto"/>
              <w:jc w:val="right"/>
            </w:pPr>
            <w:r w:rsidRPr="0033539F">
              <w:rPr>
                <w:sz w:val="24"/>
              </w:rPr>
              <w:t>732 735</w:t>
            </w:r>
          </w:p>
        </w:tc>
        <w:tc>
          <w:tcPr>
            <w:tcW w:w="1205" w:type="dxa"/>
            <w:shd w:val="clear" w:color="auto" w:fill="FFFFFF"/>
            <w:noWrap/>
            <w:tcMar>
              <w:top w:w="75" w:type="dxa"/>
              <w:left w:w="75" w:type="dxa"/>
              <w:bottom w:w="75" w:type="dxa"/>
              <w:right w:w="75" w:type="dxa"/>
            </w:tcMar>
            <w:vAlign w:val="center"/>
          </w:tcPr>
          <w:p w14:paraId="0B110A1C" w14:textId="74316173" w:rsidR="006B42D9" w:rsidRPr="00AB0F77" w:rsidRDefault="0033539F">
            <w:pPr>
              <w:spacing w:line="240" w:lineRule="auto"/>
              <w:jc w:val="right"/>
              <w:rPr>
                <w:highlight w:val="yellow"/>
              </w:rPr>
            </w:pPr>
            <w:r w:rsidRPr="004C2209">
              <w:rPr>
                <w:sz w:val="24"/>
              </w:rPr>
              <w:t>732 735</w:t>
            </w:r>
          </w:p>
        </w:tc>
      </w:tr>
      <w:tr w:rsidR="006B42D9" w14:paraId="32697318" w14:textId="77777777">
        <w:tc>
          <w:tcPr>
            <w:tcW w:w="1205" w:type="dxa"/>
            <w:shd w:val="clear" w:color="auto" w:fill="FFFFFF"/>
            <w:noWrap/>
            <w:tcMar>
              <w:top w:w="75" w:type="dxa"/>
              <w:left w:w="75" w:type="dxa"/>
              <w:bottom w:w="75" w:type="dxa"/>
              <w:right w:w="75" w:type="dxa"/>
            </w:tcMar>
            <w:vAlign w:val="center"/>
          </w:tcPr>
          <w:p w14:paraId="2BF5C965" w14:textId="77777777" w:rsidR="006B42D9" w:rsidRDefault="00E94686">
            <w:pPr>
              <w:spacing w:line="240" w:lineRule="auto"/>
              <w:rPr>
                <w:sz w:val="24"/>
              </w:rPr>
            </w:pPr>
            <w:r>
              <w:rPr>
                <w:sz w:val="24"/>
              </w:rPr>
              <w:t>2.2. valsts speciālais budžets</w:t>
            </w:r>
          </w:p>
        </w:tc>
        <w:tc>
          <w:tcPr>
            <w:tcW w:w="1205" w:type="dxa"/>
            <w:shd w:val="clear" w:color="auto" w:fill="FFFFFF"/>
            <w:noWrap/>
            <w:tcMar>
              <w:top w:w="75" w:type="dxa"/>
              <w:left w:w="75" w:type="dxa"/>
              <w:bottom w:w="75" w:type="dxa"/>
              <w:right w:w="75" w:type="dxa"/>
            </w:tcMar>
            <w:vAlign w:val="center"/>
          </w:tcPr>
          <w:p w14:paraId="0F3BE6B6"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80E7E61"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F1313CD"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9EB5AAB"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50218A1"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C77AF67"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690F73A" w14:textId="77777777" w:rsidR="006B42D9" w:rsidRDefault="00E94686">
            <w:pPr>
              <w:spacing w:line="240" w:lineRule="auto"/>
              <w:jc w:val="right"/>
            </w:pPr>
            <w:r>
              <w:rPr>
                <w:sz w:val="24"/>
              </w:rPr>
              <w:t>0</w:t>
            </w:r>
          </w:p>
        </w:tc>
      </w:tr>
      <w:tr w:rsidR="006B42D9" w14:paraId="453F3DB7" w14:textId="77777777">
        <w:tc>
          <w:tcPr>
            <w:tcW w:w="1205" w:type="dxa"/>
            <w:shd w:val="clear" w:color="auto" w:fill="FFFFFF"/>
            <w:noWrap/>
            <w:tcMar>
              <w:top w:w="75" w:type="dxa"/>
              <w:left w:w="75" w:type="dxa"/>
              <w:bottom w:w="75" w:type="dxa"/>
              <w:right w:w="75" w:type="dxa"/>
            </w:tcMar>
            <w:vAlign w:val="center"/>
          </w:tcPr>
          <w:p w14:paraId="12711F7C" w14:textId="77777777" w:rsidR="006B42D9" w:rsidRDefault="00E94686">
            <w:pPr>
              <w:spacing w:line="240" w:lineRule="auto"/>
              <w:rPr>
                <w:sz w:val="24"/>
              </w:rPr>
            </w:pPr>
            <w:r>
              <w:rPr>
                <w:sz w:val="24"/>
              </w:rPr>
              <w:t>2.3. pašvaldību budžets</w:t>
            </w:r>
          </w:p>
        </w:tc>
        <w:tc>
          <w:tcPr>
            <w:tcW w:w="1205" w:type="dxa"/>
            <w:shd w:val="clear" w:color="auto" w:fill="FFFFFF"/>
            <w:noWrap/>
            <w:tcMar>
              <w:top w:w="75" w:type="dxa"/>
              <w:left w:w="75" w:type="dxa"/>
              <w:bottom w:w="75" w:type="dxa"/>
              <w:right w:w="75" w:type="dxa"/>
            </w:tcMar>
            <w:vAlign w:val="center"/>
          </w:tcPr>
          <w:p w14:paraId="18D1A1A1"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D325F33"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07B0CD4"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BA81109"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9A24EF4"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2BBA177"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32DF5E5" w14:textId="77777777" w:rsidR="006B42D9" w:rsidRDefault="00E94686">
            <w:pPr>
              <w:spacing w:line="240" w:lineRule="auto"/>
              <w:jc w:val="right"/>
            </w:pPr>
            <w:r>
              <w:rPr>
                <w:sz w:val="24"/>
              </w:rPr>
              <w:t>0</w:t>
            </w:r>
          </w:p>
        </w:tc>
      </w:tr>
      <w:tr w:rsidR="006B42D9" w14:paraId="05BD5774" w14:textId="77777777">
        <w:tc>
          <w:tcPr>
            <w:tcW w:w="1205" w:type="dxa"/>
            <w:shd w:val="clear" w:color="auto" w:fill="FFFFFF"/>
            <w:noWrap/>
            <w:tcMar>
              <w:top w:w="75" w:type="dxa"/>
              <w:left w:w="75" w:type="dxa"/>
              <w:bottom w:w="75" w:type="dxa"/>
              <w:right w:w="75" w:type="dxa"/>
            </w:tcMar>
            <w:vAlign w:val="center"/>
          </w:tcPr>
          <w:p w14:paraId="262F7910" w14:textId="77777777" w:rsidR="006B42D9" w:rsidRDefault="00E94686">
            <w:pPr>
              <w:spacing w:line="240" w:lineRule="auto"/>
              <w:rPr>
                <w:sz w:val="24"/>
              </w:rPr>
            </w:pPr>
            <w:r>
              <w:rPr>
                <w:sz w:val="24"/>
              </w:rPr>
              <w:t>3. Finansiālā ietekme</w:t>
            </w:r>
          </w:p>
        </w:tc>
        <w:tc>
          <w:tcPr>
            <w:tcW w:w="1205" w:type="dxa"/>
            <w:shd w:val="clear" w:color="auto" w:fill="FFFFFF"/>
            <w:noWrap/>
            <w:tcMar>
              <w:top w:w="75" w:type="dxa"/>
              <w:left w:w="75" w:type="dxa"/>
              <w:bottom w:w="75" w:type="dxa"/>
              <w:right w:w="75" w:type="dxa"/>
            </w:tcMar>
            <w:vAlign w:val="center"/>
          </w:tcPr>
          <w:p w14:paraId="06441DA7"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E32440A" w14:textId="6987908E" w:rsidR="006B42D9" w:rsidRPr="001B0B83" w:rsidRDefault="001B0B83">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969328F"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03C58CC4" w14:textId="1167BEAD" w:rsidR="006B42D9" w:rsidRPr="0033539F" w:rsidRDefault="00E94686">
            <w:pPr>
              <w:spacing w:line="240" w:lineRule="auto"/>
              <w:jc w:val="right"/>
            </w:pPr>
            <w:r w:rsidRPr="0033539F">
              <w:rPr>
                <w:sz w:val="24"/>
              </w:rPr>
              <w:t>-</w:t>
            </w:r>
            <w:r w:rsidR="0033539F" w:rsidRPr="0033539F">
              <w:rPr>
                <w:sz w:val="24"/>
              </w:rPr>
              <w:t>109 910</w:t>
            </w:r>
          </w:p>
        </w:tc>
        <w:tc>
          <w:tcPr>
            <w:tcW w:w="1205" w:type="dxa"/>
            <w:shd w:val="clear" w:color="auto" w:fill="FFFFFF"/>
            <w:noWrap/>
            <w:tcMar>
              <w:top w:w="75" w:type="dxa"/>
              <w:left w:w="75" w:type="dxa"/>
              <w:bottom w:w="75" w:type="dxa"/>
              <w:right w:w="75" w:type="dxa"/>
            </w:tcMar>
            <w:vAlign w:val="center"/>
          </w:tcPr>
          <w:p w14:paraId="4CB5F57F" w14:textId="77777777" w:rsidR="006B42D9" w:rsidRPr="0033539F" w:rsidRDefault="00E94686">
            <w:pPr>
              <w:spacing w:line="240" w:lineRule="auto"/>
              <w:jc w:val="right"/>
            </w:pPr>
            <w:r w:rsidRPr="0033539F">
              <w:rPr>
                <w:sz w:val="24"/>
              </w:rPr>
              <w:t>0</w:t>
            </w:r>
          </w:p>
        </w:tc>
        <w:tc>
          <w:tcPr>
            <w:tcW w:w="1205" w:type="dxa"/>
            <w:shd w:val="clear" w:color="auto" w:fill="FFFFFF"/>
            <w:noWrap/>
            <w:tcMar>
              <w:top w:w="75" w:type="dxa"/>
              <w:left w:w="75" w:type="dxa"/>
              <w:bottom w:w="75" w:type="dxa"/>
              <w:right w:w="75" w:type="dxa"/>
            </w:tcMar>
            <w:vAlign w:val="center"/>
          </w:tcPr>
          <w:p w14:paraId="7B97EF1C" w14:textId="6FCC38BA" w:rsidR="006B42D9" w:rsidRPr="0033539F" w:rsidRDefault="00E94686">
            <w:pPr>
              <w:spacing w:line="240" w:lineRule="auto"/>
              <w:jc w:val="right"/>
            </w:pPr>
            <w:r w:rsidRPr="0033539F">
              <w:rPr>
                <w:sz w:val="24"/>
              </w:rPr>
              <w:t>-</w:t>
            </w:r>
            <w:r w:rsidR="0033539F" w:rsidRPr="0033539F">
              <w:rPr>
                <w:sz w:val="24"/>
              </w:rPr>
              <w:t>109 910</w:t>
            </w:r>
          </w:p>
        </w:tc>
        <w:tc>
          <w:tcPr>
            <w:tcW w:w="1205" w:type="dxa"/>
            <w:shd w:val="clear" w:color="auto" w:fill="FFFFFF"/>
            <w:noWrap/>
            <w:tcMar>
              <w:top w:w="75" w:type="dxa"/>
              <w:left w:w="75" w:type="dxa"/>
              <w:bottom w:w="75" w:type="dxa"/>
              <w:right w:w="75" w:type="dxa"/>
            </w:tcMar>
            <w:vAlign w:val="center"/>
          </w:tcPr>
          <w:p w14:paraId="0EBD0D8B" w14:textId="341D71F6" w:rsidR="006B42D9" w:rsidRPr="0033539F" w:rsidRDefault="00E94686">
            <w:pPr>
              <w:spacing w:line="240" w:lineRule="auto"/>
              <w:jc w:val="right"/>
            </w:pPr>
            <w:r w:rsidRPr="0033539F">
              <w:rPr>
                <w:sz w:val="24"/>
              </w:rPr>
              <w:t>-</w:t>
            </w:r>
            <w:r w:rsidR="0033539F" w:rsidRPr="0033539F">
              <w:rPr>
                <w:sz w:val="24"/>
              </w:rPr>
              <w:t>109 910</w:t>
            </w:r>
          </w:p>
        </w:tc>
      </w:tr>
      <w:tr w:rsidR="006B42D9" w14:paraId="562184E1" w14:textId="77777777">
        <w:tc>
          <w:tcPr>
            <w:tcW w:w="1205" w:type="dxa"/>
            <w:shd w:val="clear" w:color="auto" w:fill="FFFFFF"/>
            <w:noWrap/>
            <w:tcMar>
              <w:top w:w="75" w:type="dxa"/>
              <w:left w:w="75" w:type="dxa"/>
              <w:bottom w:w="75" w:type="dxa"/>
              <w:right w:w="75" w:type="dxa"/>
            </w:tcMar>
            <w:vAlign w:val="center"/>
          </w:tcPr>
          <w:p w14:paraId="4BD0BB55" w14:textId="77777777" w:rsidR="006B42D9" w:rsidRDefault="00E94686">
            <w:pPr>
              <w:spacing w:line="240" w:lineRule="auto"/>
              <w:rPr>
                <w:sz w:val="24"/>
              </w:rPr>
            </w:pPr>
            <w:r>
              <w:rPr>
                <w:sz w:val="24"/>
              </w:rPr>
              <w:t>3.1. valsts pamatbudžets</w:t>
            </w:r>
          </w:p>
        </w:tc>
        <w:tc>
          <w:tcPr>
            <w:tcW w:w="1205" w:type="dxa"/>
            <w:shd w:val="clear" w:color="auto" w:fill="FFFFFF"/>
            <w:noWrap/>
            <w:tcMar>
              <w:top w:w="75" w:type="dxa"/>
              <w:left w:w="75" w:type="dxa"/>
              <w:bottom w:w="75" w:type="dxa"/>
              <w:right w:w="75" w:type="dxa"/>
            </w:tcMar>
            <w:vAlign w:val="center"/>
          </w:tcPr>
          <w:p w14:paraId="21AF7C94"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44B054B" w14:textId="6CAFA026" w:rsidR="006B42D9" w:rsidRPr="001B0B83" w:rsidRDefault="001B0B83">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D16EBAF"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635C5F74" w14:textId="39F2CE7A" w:rsidR="006B42D9" w:rsidRPr="0033539F" w:rsidRDefault="00E94686">
            <w:pPr>
              <w:spacing w:line="240" w:lineRule="auto"/>
              <w:jc w:val="right"/>
            </w:pPr>
            <w:r w:rsidRPr="0033539F">
              <w:rPr>
                <w:sz w:val="24"/>
              </w:rPr>
              <w:t>-</w:t>
            </w:r>
            <w:r w:rsidR="0033539F" w:rsidRPr="0033539F">
              <w:rPr>
                <w:sz w:val="24"/>
              </w:rPr>
              <w:t>109 910</w:t>
            </w:r>
          </w:p>
        </w:tc>
        <w:tc>
          <w:tcPr>
            <w:tcW w:w="1205" w:type="dxa"/>
            <w:shd w:val="clear" w:color="auto" w:fill="FFFFFF"/>
            <w:noWrap/>
            <w:tcMar>
              <w:top w:w="75" w:type="dxa"/>
              <w:left w:w="75" w:type="dxa"/>
              <w:bottom w:w="75" w:type="dxa"/>
              <w:right w:w="75" w:type="dxa"/>
            </w:tcMar>
            <w:vAlign w:val="center"/>
          </w:tcPr>
          <w:p w14:paraId="69C6DEE6" w14:textId="77777777" w:rsidR="006B42D9" w:rsidRPr="0033539F" w:rsidRDefault="00E94686">
            <w:pPr>
              <w:spacing w:line="240" w:lineRule="auto"/>
              <w:jc w:val="right"/>
            </w:pPr>
            <w:r w:rsidRPr="0033539F">
              <w:rPr>
                <w:sz w:val="24"/>
              </w:rPr>
              <w:t>0</w:t>
            </w:r>
          </w:p>
        </w:tc>
        <w:tc>
          <w:tcPr>
            <w:tcW w:w="1205" w:type="dxa"/>
            <w:shd w:val="clear" w:color="auto" w:fill="FFFFFF"/>
            <w:noWrap/>
            <w:tcMar>
              <w:top w:w="75" w:type="dxa"/>
              <w:left w:w="75" w:type="dxa"/>
              <w:bottom w:w="75" w:type="dxa"/>
              <w:right w:w="75" w:type="dxa"/>
            </w:tcMar>
            <w:vAlign w:val="center"/>
          </w:tcPr>
          <w:p w14:paraId="0D61FDC4" w14:textId="6D26ADF7" w:rsidR="006B42D9" w:rsidRPr="0033539F" w:rsidRDefault="00E94686">
            <w:pPr>
              <w:spacing w:line="240" w:lineRule="auto"/>
              <w:jc w:val="right"/>
            </w:pPr>
            <w:r w:rsidRPr="0033539F">
              <w:rPr>
                <w:sz w:val="24"/>
              </w:rPr>
              <w:t>-</w:t>
            </w:r>
            <w:r w:rsidR="0033539F" w:rsidRPr="0033539F">
              <w:rPr>
                <w:sz w:val="24"/>
              </w:rPr>
              <w:t>109 910</w:t>
            </w:r>
          </w:p>
        </w:tc>
        <w:tc>
          <w:tcPr>
            <w:tcW w:w="1205" w:type="dxa"/>
            <w:shd w:val="clear" w:color="auto" w:fill="FFFFFF"/>
            <w:noWrap/>
            <w:tcMar>
              <w:top w:w="75" w:type="dxa"/>
              <w:left w:w="75" w:type="dxa"/>
              <w:bottom w:w="75" w:type="dxa"/>
              <w:right w:w="75" w:type="dxa"/>
            </w:tcMar>
            <w:vAlign w:val="center"/>
          </w:tcPr>
          <w:p w14:paraId="03510460" w14:textId="132B0228" w:rsidR="006B42D9" w:rsidRPr="0033539F" w:rsidRDefault="00E94686">
            <w:pPr>
              <w:spacing w:line="240" w:lineRule="auto"/>
              <w:jc w:val="right"/>
            </w:pPr>
            <w:r w:rsidRPr="0033539F">
              <w:rPr>
                <w:sz w:val="24"/>
              </w:rPr>
              <w:t>-</w:t>
            </w:r>
            <w:r w:rsidR="0033539F" w:rsidRPr="0033539F">
              <w:rPr>
                <w:sz w:val="24"/>
              </w:rPr>
              <w:t>109 910</w:t>
            </w:r>
          </w:p>
        </w:tc>
      </w:tr>
      <w:tr w:rsidR="006B42D9" w14:paraId="1E67CD34" w14:textId="77777777">
        <w:tc>
          <w:tcPr>
            <w:tcW w:w="1205" w:type="dxa"/>
            <w:shd w:val="clear" w:color="auto" w:fill="FFFFFF"/>
            <w:noWrap/>
            <w:tcMar>
              <w:top w:w="75" w:type="dxa"/>
              <w:left w:w="75" w:type="dxa"/>
              <w:bottom w:w="75" w:type="dxa"/>
              <w:right w:w="75" w:type="dxa"/>
            </w:tcMar>
            <w:vAlign w:val="center"/>
          </w:tcPr>
          <w:p w14:paraId="5EF399CF" w14:textId="77777777" w:rsidR="006B42D9" w:rsidRDefault="00E94686">
            <w:pPr>
              <w:spacing w:line="240" w:lineRule="auto"/>
              <w:rPr>
                <w:sz w:val="24"/>
              </w:rPr>
            </w:pPr>
            <w:r>
              <w:rPr>
                <w:sz w:val="24"/>
              </w:rPr>
              <w:t>3.2. speciālais budžets</w:t>
            </w:r>
          </w:p>
        </w:tc>
        <w:tc>
          <w:tcPr>
            <w:tcW w:w="1205" w:type="dxa"/>
            <w:shd w:val="clear" w:color="auto" w:fill="FFFFFF"/>
            <w:noWrap/>
            <w:tcMar>
              <w:top w:w="75" w:type="dxa"/>
              <w:left w:w="75" w:type="dxa"/>
              <w:bottom w:w="75" w:type="dxa"/>
              <w:right w:w="75" w:type="dxa"/>
            </w:tcMar>
            <w:vAlign w:val="center"/>
          </w:tcPr>
          <w:p w14:paraId="42608486"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BC8D8DB"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3340AAC"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E8A3C67"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83C260A"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68C39C1"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C907F14" w14:textId="77777777" w:rsidR="006B42D9" w:rsidRDefault="00E94686">
            <w:pPr>
              <w:spacing w:line="240" w:lineRule="auto"/>
              <w:jc w:val="right"/>
            </w:pPr>
            <w:r>
              <w:rPr>
                <w:sz w:val="24"/>
              </w:rPr>
              <w:t>0</w:t>
            </w:r>
          </w:p>
        </w:tc>
      </w:tr>
      <w:tr w:rsidR="006B42D9" w14:paraId="12501112" w14:textId="77777777">
        <w:tc>
          <w:tcPr>
            <w:tcW w:w="1205" w:type="dxa"/>
            <w:shd w:val="clear" w:color="auto" w:fill="FFFFFF"/>
            <w:noWrap/>
            <w:tcMar>
              <w:top w:w="75" w:type="dxa"/>
              <w:left w:w="75" w:type="dxa"/>
              <w:bottom w:w="75" w:type="dxa"/>
              <w:right w:w="75" w:type="dxa"/>
            </w:tcMar>
            <w:vAlign w:val="center"/>
          </w:tcPr>
          <w:p w14:paraId="0F37FA71" w14:textId="77777777" w:rsidR="006B42D9" w:rsidRDefault="00E94686">
            <w:pPr>
              <w:spacing w:line="240" w:lineRule="auto"/>
              <w:rPr>
                <w:sz w:val="24"/>
              </w:rPr>
            </w:pPr>
            <w:r>
              <w:rPr>
                <w:sz w:val="24"/>
              </w:rPr>
              <w:t>3.3. pašvaldību budžets</w:t>
            </w:r>
          </w:p>
        </w:tc>
        <w:tc>
          <w:tcPr>
            <w:tcW w:w="1205" w:type="dxa"/>
            <w:shd w:val="clear" w:color="auto" w:fill="FFFFFF"/>
            <w:noWrap/>
            <w:tcMar>
              <w:top w:w="75" w:type="dxa"/>
              <w:left w:w="75" w:type="dxa"/>
              <w:bottom w:w="75" w:type="dxa"/>
              <w:right w:w="75" w:type="dxa"/>
            </w:tcMar>
            <w:vAlign w:val="center"/>
          </w:tcPr>
          <w:p w14:paraId="718F7D84"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8CF2133"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D3958E7"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C145250"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2A689FA"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A07F72A"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EA1DAB5" w14:textId="77777777" w:rsidR="006B42D9" w:rsidRDefault="00E94686">
            <w:pPr>
              <w:spacing w:line="240" w:lineRule="auto"/>
              <w:jc w:val="right"/>
            </w:pPr>
            <w:r>
              <w:rPr>
                <w:sz w:val="24"/>
              </w:rPr>
              <w:t>0</w:t>
            </w:r>
          </w:p>
        </w:tc>
      </w:tr>
      <w:tr w:rsidR="006B42D9" w14:paraId="0CBD1DAD" w14:textId="77777777">
        <w:tc>
          <w:tcPr>
            <w:tcW w:w="1205" w:type="dxa"/>
            <w:shd w:val="clear" w:color="auto" w:fill="FFFFFF"/>
            <w:noWrap/>
            <w:tcMar>
              <w:top w:w="75" w:type="dxa"/>
              <w:left w:w="75" w:type="dxa"/>
              <w:bottom w:w="75" w:type="dxa"/>
              <w:right w:w="75" w:type="dxa"/>
            </w:tcMar>
            <w:vAlign w:val="center"/>
          </w:tcPr>
          <w:p w14:paraId="24ABA5AD" w14:textId="77777777" w:rsidR="006B42D9" w:rsidRDefault="00E94686">
            <w:pPr>
              <w:spacing w:line="240" w:lineRule="auto"/>
              <w:rPr>
                <w:sz w:val="24"/>
              </w:rPr>
            </w:pPr>
            <w:r>
              <w:rPr>
                <w:sz w:val="24"/>
              </w:rPr>
              <w:t xml:space="preserve">4. Finanšu līdzekļi papildu izdevumu </w:t>
            </w:r>
            <w:r>
              <w:rPr>
                <w:sz w:val="24"/>
              </w:rPr>
              <w:lastRenderedPageBreak/>
              <w:t>finansēšanai (kompensējošu izdevumu palielinājumu norāda ar "-" zīmi)</w:t>
            </w:r>
          </w:p>
        </w:tc>
        <w:tc>
          <w:tcPr>
            <w:tcW w:w="1205" w:type="dxa"/>
            <w:shd w:val="clear" w:color="auto" w:fill="FFFFFF"/>
            <w:noWrap/>
            <w:tcMar>
              <w:top w:w="75" w:type="dxa"/>
              <w:left w:w="75" w:type="dxa"/>
              <w:bottom w:w="75" w:type="dxa"/>
              <w:right w:w="75" w:type="dxa"/>
            </w:tcMar>
            <w:vAlign w:val="center"/>
          </w:tcPr>
          <w:p w14:paraId="67FF91EC" w14:textId="77777777" w:rsidR="006B42D9" w:rsidRDefault="00E94686">
            <w:pPr>
              <w:spacing w:line="240" w:lineRule="auto"/>
              <w:jc w:val="right"/>
            </w:pPr>
            <w:r>
              <w:rPr>
                <w:sz w:val="24"/>
              </w:rPr>
              <w:lastRenderedPageBreak/>
              <w:t>0</w:t>
            </w:r>
          </w:p>
        </w:tc>
        <w:tc>
          <w:tcPr>
            <w:tcW w:w="1205" w:type="dxa"/>
            <w:shd w:val="clear" w:color="auto" w:fill="FFFFFF"/>
            <w:noWrap/>
            <w:tcMar>
              <w:top w:w="75" w:type="dxa"/>
              <w:left w:w="75" w:type="dxa"/>
              <w:bottom w:w="75" w:type="dxa"/>
              <w:right w:w="75" w:type="dxa"/>
            </w:tcMar>
            <w:vAlign w:val="center"/>
          </w:tcPr>
          <w:p w14:paraId="528DEDCA"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9E83D2B"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D7F6BD8"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C59136A"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04A8A18"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6A0AA95" w14:textId="77777777" w:rsidR="006B42D9" w:rsidRDefault="00E94686">
            <w:pPr>
              <w:spacing w:line="240" w:lineRule="auto"/>
              <w:jc w:val="right"/>
            </w:pPr>
            <w:r>
              <w:rPr>
                <w:sz w:val="24"/>
              </w:rPr>
              <w:t>0</w:t>
            </w:r>
          </w:p>
        </w:tc>
      </w:tr>
      <w:tr w:rsidR="006B42D9" w14:paraId="69032379" w14:textId="77777777">
        <w:tc>
          <w:tcPr>
            <w:tcW w:w="1205" w:type="dxa"/>
            <w:shd w:val="clear" w:color="auto" w:fill="FFFFFF"/>
            <w:noWrap/>
            <w:tcMar>
              <w:top w:w="75" w:type="dxa"/>
              <w:left w:w="75" w:type="dxa"/>
              <w:bottom w:w="75" w:type="dxa"/>
              <w:right w:w="75" w:type="dxa"/>
            </w:tcMar>
            <w:vAlign w:val="center"/>
          </w:tcPr>
          <w:p w14:paraId="4E283FF4" w14:textId="77777777" w:rsidR="006B42D9" w:rsidRDefault="00E94686">
            <w:pPr>
              <w:spacing w:line="240" w:lineRule="auto"/>
              <w:rPr>
                <w:sz w:val="24"/>
              </w:rPr>
            </w:pPr>
            <w:r>
              <w:rPr>
                <w:sz w:val="24"/>
              </w:rPr>
              <w:t>5. Precizēta finansiālā ietekme</w:t>
            </w:r>
          </w:p>
        </w:tc>
        <w:tc>
          <w:tcPr>
            <w:tcW w:w="1205" w:type="dxa"/>
            <w:shd w:val="clear" w:color="auto" w:fill="FFFFFF"/>
            <w:noWrap/>
            <w:tcMar>
              <w:top w:w="75" w:type="dxa"/>
              <w:left w:w="75" w:type="dxa"/>
              <w:bottom w:w="75" w:type="dxa"/>
              <w:right w:w="75" w:type="dxa"/>
            </w:tcMar>
            <w:vAlign w:val="center"/>
          </w:tcPr>
          <w:p w14:paraId="792A3FC4"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64DD3105" w14:textId="148ADC72" w:rsidR="006B42D9" w:rsidRPr="001B0B83" w:rsidRDefault="001B0B83">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4AE7F89" w14:textId="77777777" w:rsidR="006B42D9" w:rsidRPr="00AB0F77" w:rsidRDefault="006B42D9">
            <w:pPr>
              <w:spacing w:line="240" w:lineRule="auto"/>
              <w:rPr>
                <w:highlight w:val="yellow"/>
              </w:rPr>
            </w:pPr>
          </w:p>
        </w:tc>
        <w:tc>
          <w:tcPr>
            <w:tcW w:w="1205" w:type="dxa"/>
            <w:shd w:val="clear" w:color="auto" w:fill="FFFFFF"/>
            <w:noWrap/>
            <w:tcMar>
              <w:top w:w="75" w:type="dxa"/>
              <w:left w:w="75" w:type="dxa"/>
              <w:bottom w:w="75" w:type="dxa"/>
              <w:right w:w="75" w:type="dxa"/>
            </w:tcMar>
            <w:vAlign w:val="center"/>
          </w:tcPr>
          <w:p w14:paraId="055F61C5" w14:textId="72A69A93" w:rsidR="006B42D9" w:rsidRPr="0033539F" w:rsidRDefault="00E94686">
            <w:pPr>
              <w:spacing w:line="240" w:lineRule="auto"/>
              <w:jc w:val="right"/>
            </w:pPr>
            <w:r w:rsidRPr="0033539F">
              <w:rPr>
                <w:sz w:val="24"/>
              </w:rPr>
              <w:t>-</w:t>
            </w:r>
            <w:r w:rsidR="0033539F" w:rsidRPr="0033539F">
              <w:rPr>
                <w:sz w:val="24"/>
              </w:rPr>
              <w:t>109 910</w:t>
            </w:r>
          </w:p>
        </w:tc>
        <w:tc>
          <w:tcPr>
            <w:tcW w:w="1205" w:type="dxa"/>
            <w:shd w:val="clear" w:color="auto" w:fill="FFFFFF"/>
            <w:noWrap/>
            <w:tcMar>
              <w:top w:w="75" w:type="dxa"/>
              <w:left w:w="75" w:type="dxa"/>
              <w:bottom w:w="75" w:type="dxa"/>
              <w:right w:w="75" w:type="dxa"/>
            </w:tcMar>
            <w:vAlign w:val="center"/>
          </w:tcPr>
          <w:p w14:paraId="3736827B" w14:textId="77777777" w:rsidR="006B42D9" w:rsidRPr="0033539F"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41388033" w14:textId="58F848C0" w:rsidR="006B42D9" w:rsidRPr="0033539F" w:rsidRDefault="00E94686">
            <w:pPr>
              <w:spacing w:line="240" w:lineRule="auto"/>
              <w:jc w:val="right"/>
            </w:pPr>
            <w:r w:rsidRPr="0033539F">
              <w:rPr>
                <w:sz w:val="24"/>
              </w:rPr>
              <w:t>-</w:t>
            </w:r>
            <w:r w:rsidR="0033539F" w:rsidRPr="0033539F">
              <w:rPr>
                <w:sz w:val="24"/>
              </w:rPr>
              <w:t>109 910</w:t>
            </w:r>
          </w:p>
        </w:tc>
        <w:tc>
          <w:tcPr>
            <w:tcW w:w="1205" w:type="dxa"/>
            <w:shd w:val="clear" w:color="auto" w:fill="FFFFFF"/>
            <w:noWrap/>
            <w:tcMar>
              <w:top w:w="75" w:type="dxa"/>
              <w:left w:w="75" w:type="dxa"/>
              <w:bottom w:w="75" w:type="dxa"/>
              <w:right w:w="75" w:type="dxa"/>
            </w:tcMar>
            <w:vAlign w:val="center"/>
          </w:tcPr>
          <w:p w14:paraId="2F9B045D" w14:textId="3917D96E" w:rsidR="006B42D9" w:rsidRPr="0033539F" w:rsidRDefault="00E94686">
            <w:pPr>
              <w:spacing w:line="240" w:lineRule="auto"/>
              <w:jc w:val="right"/>
            </w:pPr>
            <w:r w:rsidRPr="0033539F">
              <w:rPr>
                <w:sz w:val="24"/>
              </w:rPr>
              <w:t>-</w:t>
            </w:r>
            <w:r w:rsidR="0033539F" w:rsidRPr="0033539F">
              <w:rPr>
                <w:sz w:val="24"/>
              </w:rPr>
              <w:t>109 910</w:t>
            </w:r>
          </w:p>
        </w:tc>
      </w:tr>
      <w:tr w:rsidR="006B42D9" w14:paraId="44EAECCA" w14:textId="77777777">
        <w:tc>
          <w:tcPr>
            <w:tcW w:w="1205" w:type="dxa"/>
            <w:shd w:val="clear" w:color="auto" w:fill="FFFFFF"/>
            <w:noWrap/>
            <w:tcMar>
              <w:top w:w="75" w:type="dxa"/>
              <w:left w:w="75" w:type="dxa"/>
              <w:bottom w:w="75" w:type="dxa"/>
              <w:right w:w="75" w:type="dxa"/>
            </w:tcMar>
            <w:vAlign w:val="center"/>
          </w:tcPr>
          <w:p w14:paraId="3874C1EF" w14:textId="77777777" w:rsidR="006B42D9" w:rsidRDefault="00E94686">
            <w:pPr>
              <w:spacing w:line="240" w:lineRule="auto"/>
              <w:rPr>
                <w:sz w:val="24"/>
              </w:rPr>
            </w:pPr>
            <w:r>
              <w:rPr>
                <w:sz w:val="24"/>
              </w:rPr>
              <w:t>5.1. valsts pamatbudžets</w:t>
            </w:r>
          </w:p>
        </w:tc>
        <w:tc>
          <w:tcPr>
            <w:tcW w:w="1205" w:type="dxa"/>
            <w:shd w:val="clear" w:color="auto" w:fill="FFFFFF"/>
            <w:noWrap/>
            <w:tcMar>
              <w:top w:w="75" w:type="dxa"/>
              <w:left w:w="75" w:type="dxa"/>
              <w:bottom w:w="75" w:type="dxa"/>
              <w:right w:w="75" w:type="dxa"/>
            </w:tcMar>
            <w:vAlign w:val="center"/>
          </w:tcPr>
          <w:p w14:paraId="7240B3A8"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373918F6" w14:textId="2DCF5636" w:rsidR="006B42D9" w:rsidRPr="001B0B83" w:rsidRDefault="001B0B83">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47F629F" w14:textId="77777777" w:rsidR="006B42D9" w:rsidRPr="00AB0F77" w:rsidRDefault="006B42D9">
            <w:pPr>
              <w:spacing w:line="240" w:lineRule="auto"/>
              <w:rPr>
                <w:highlight w:val="yellow"/>
              </w:rPr>
            </w:pPr>
          </w:p>
        </w:tc>
        <w:tc>
          <w:tcPr>
            <w:tcW w:w="1205" w:type="dxa"/>
            <w:shd w:val="clear" w:color="auto" w:fill="FFFFFF"/>
            <w:noWrap/>
            <w:tcMar>
              <w:top w:w="75" w:type="dxa"/>
              <w:left w:w="75" w:type="dxa"/>
              <w:bottom w:w="75" w:type="dxa"/>
              <w:right w:w="75" w:type="dxa"/>
            </w:tcMar>
            <w:vAlign w:val="center"/>
          </w:tcPr>
          <w:p w14:paraId="45F72BA7" w14:textId="7BF9EAE7" w:rsidR="006B42D9" w:rsidRPr="0033539F" w:rsidRDefault="00E94686">
            <w:pPr>
              <w:spacing w:line="240" w:lineRule="auto"/>
              <w:jc w:val="right"/>
            </w:pPr>
            <w:r w:rsidRPr="0033539F">
              <w:rPr>
                <w:sz w:val="24"/>
              </w:rPr>
              <w:t>-</w:t>
            </w:r>
            <w:r w:rsidR="0033539F" w:rsidRPr="0033539F">
              <w:rPr>
                <w:sz w:val="24"/>
              </w:rPr>
              <w:t>109 910</w:t>
            </w:r>
          </w:p>
        </w:tc>
        <w:tc>
          <w:tcPr>
            <w:tcW w:w="1205" w:type="dxa"/>
            <w:shd w:val="clear" w:color="auto" w:fill="FFFFFF"/>
            <w:noWrap/>
            <w:tcMar>
              <w:top w:w="75" w:type="dxa"/>
              <w:left w:w="75" w:type="dxa"/>
              <w:bottom w:w="75" w:type="dxa"/>
              <w:right w:w="75" w:type="dxa"/>
            </w:tcMar>
            <w:vAlign w:val="center"/>
          </w:tcPr>
          <w:p w14:paraId="365280DB" w14:textId="77777777" w:rsidR="006B42D9" w:rsidRPr="0033539F"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16262D93" w14:textId="4D05460E" w:rsidR="006B42D9" w:rsidRPr="0033539F" w:rsidRDefault="00E94686">
            <w:pPr>
              <w:spacing w:line="240" w:lineRule="auto"/>
              <w:jc w:val="right"/>
            </w:pPr>
            <w:r w:rsidRPr="0033539F">
              <w:rPr>
                <w:sz w:val="24"/>
              </w:rPr>
              <w:t>-</w:t>
            </w:r>
            <w:r w:rsidR="0033539F" w:rsidRPr="0033539F">
              <w:rPr>
                <w:sz w:val="24"/>
              </w:rPr>
              <w:t>109 910</w:t>
            </w:r>
          </w:p>
        </w:tc>
        <w:tc>
          <w:tcPr>
            <w:tcW w:w="1205" w:type="dxa"/>
            <w:shd w:val="clear" w:color="auto" w:fill="FFFFFF"/>
            <w:noWrap/>
            <w:tcMar>
              <w:top w:w="75" w:type="dxa"/>
              <w:left w:w="75" w:type="dxa"/>
              <w:bottom w:w="75" w:type="dxa"/>
              <w:right w:w="75" w:type="dxa"/>
            </w:tcMar>
            <w:vAlign w:val="center"/>
          </w:tcPr>
          <w:p w14:paraId="51AF15FA" w14:textId="39831C36" w:rsidR="006B42D9" w:rsidRPr="0033539F" w:rsidRDefault="00E94686">
            <w:pPr>
              <w:spacing w:line="240" w:lineRule="auto"/>
              <w:jc w:val="right"/>
            </w:pPr>
            <w:r w:rsidRPr="0033539F">
              <w:rPr>
                <w:sz w:val="24"/>
              </w:rPr>
              <w:t>-</w:t>
            </w:r>
            <w:r w:rsidR="0033539F" w:rsidRPr="0033539F">
              <w:rPr>
                <w:sz w:val="24"/>
              </w:rPr>
              <w:t>109 910</w:t>
            </w:r>
          </w:p>
        </w:tc>
      </w:tr>
      <w:tr w:rsidR="006B42D9" w14:paraId="54D523E6" w14:textId="77777777">
        <w:tc>
          <w:tcPr>
            <w:tcW w:w="1205" w:type="dxa"/>
            <w:shd w:val="clear" w:color="auto" w:fill="FFFFFF"/>
            <w:noWrap/>
            <w:tcMar>
              <w:top w:w="75" w:type="dxa"/>
              <w:left w:w="75" w:type="dxa"/>
              <w:bottom w:w="75" w:type="dxa"/>
              <w:right w:w="75" w:type="dxa"/>
            </w:tcMar>
            <w:vAlign w:val="center"/>
          </w:tcPr>
          <w:p w14:paraId="038ADA7A" w14:textId="77777777" w:rsidR="006B42D9" w:rsidRDefault="00E94686">
            <w:pPr>
              <w:spacing w:line="240" w:lineRule="auto"/>
              <w:rPr>
                <w:sz w:val="24"/>
              </w:rPr>
            </w:pPr>
            <w:r>
              <w:rPr>
                <w:sz w:val="24"/>
              </w:rPr>
              <w:t>5.2. speciālais budžets</w:t>
            </w:r>
          </w:p>
        </w:tc>
        <w:tc>
          <w:tcPr>
            <w:tcW w:w="1205" w:type="dxa"/>
            <w:shd w:val="clear" w:color="auto" w:fill="FFFFFF"/>
            <w:noWrap/>
            <w:tcMar>
              <w:top w:w="75" w:type="dxa"/>
              <w:left w:w="75" w:type="dxa"/>
              <w:bottom w:w="75" w:type="dxa"/>
              <w:right w:w="75" w:type="dxa"/>
            </w:tcMar>
            <w:vAlign w:val="center"/>
          </w:tcPr>
          <w:p w14:paraId="00EC2CAD"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7F7A9EB8"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E27E9B0"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7C3CD914"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560D3CB"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2EA9F295"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8CBFDD1" w14:textId="77777777" w:rsidR="006B42D9" w:rsidRDefault="00E94686">
            <w:pPr>
              <w:spacing w:line="240" w:lineRule="auto"/>
              <w:jc w:val="right"/>
            </w:pPr>
            <w:r>
              <w:rPr>
                <w:sz w:val="24"/>
              </w:rPr>
              <w:t>0</w:t>
            </w:r>
          </w:p>
        </w:tc>
      </w:tr>
      <w:tr w:rsidR="006B42D9" w14:paraId="0559306A" w14:textId="77777777">
        <w:tc>
          <w:tcPr>
            <w:tcW w:w="1205" w:type="dxa"/>
            <w:shd w:val="clear" w:color="auto" w:fill="FFFFFF"/>
            <w:noWrap/>
            <w:tcMar>
              <w:top w:w="75" w:type="dxa"/>
              <w:left w:w="75" w:type="dxa"/>
              <w:bottom w:w="75" w:type="dxa"/>
              <w:right w:w="75" w:type="dxa"/>
            </w:tcMar>
            <w:vAlign w:val="center"/>
          </w:tcPr>
          <w:p w14:paraId="0FCF1AC1" w14:textId="77777777" w:rsidR="006B42D9" w:rsidRDefault="00E94686">
            <w:pPr>
              <w:spacing w:line="240" w:lineRule="auto"/>
              <w:rPr>
                <w:sz w:val="24"/>
              </w:rPr>
            </w:pPr>
            <w:r>
              <w:rPr>
                <w:sz w:val="24"/>
              </w:rPr>
              <w:t>5.3. pašvaldību budžets</w:t>
            </w:r>
          </w:p>
        </w:tc>
        <w:tc>
          <w:tcPr>
            <w:tcW w:w="1205" w:type="dxa"/>
            <w:shd w:val="clear" w:color="auto" w:fill="FFFFFF"/>
            <w:noWrap/>
            <w:tcMar>
              <w:top w:w="75" w:type="dxa"/>
              <w:left w:w="75" w:type="dxa"/>
              <w:bottom w:w="75" w:type="dxa"/>
              <w:right w:w="75" w:type="dxa"/>
            </w:tcMar>
            <w:vAlign w:val="center"/>
          </w:tcPr>
          <w:p w14:paraId="17421CAE"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5E530C63"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30F0F40"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63C8E98F"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DB4EE97"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1131CFF4"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F0386DA" w14:textId="77777777" w:rsidR="006B42D9" w:rsidRDefault="00E94686">
            <w:pPr>
              <w:spacing w:line="240" w:lineRule="auto"/>
              <w:jc w:val="right"/>
            </w:pPr>
            <w:r>
              <w:rPr>
                <w:sz w:val="24"/>
              </w:rPr>
              <w:t>0</w:t>
            </w:r>
          </w:p>
        </w:tc>
      </w:tr>
      <w:tr w:rsidR="006B42D9" w14:paraId="70361B95" w14:textId="77777777">
        <w:tc>
          <w:tcPr>
            <w:tcW w:w="1205" w:type="dxa"/>
            <w:shd w:val="clear" w:color="auto" w:fill="FFFFFF"/>
            <w:noWrap/>
            <w:tcMar>
              <w:top w:w="75" w:type="dxa"/>
              <w:left w:w="75" w:type="dxa"/>
              <w:bottom w:w="75" w:type="dxa"/>
              <w:right w:w="75" w:type="dxa"/>
            </w:tcMar>
            <w:vAlign w:val="center"/>
          </w:tcPr>
          <w:p w14:paraId="49A31678" w14:textId="77777777" w:rsidR="006B42D9" w:rsidRDefault="00E94686">
            <w:pPr>
              <w:spacing w:line="240" w:lineRule="auto"/>
              <w:rPr>
                <w:sz w:val="24"/>
              </w:rPr>
            </w:pPr>
            <w:r>
              <w:rPr>
                <w:sz w:val="24"/>
              </w:rPr>
              <w:t>6. Detalizēts ieņēmumu un izdevumu aprēķins (ja nepieciešams, detalizētu ieņēmumu un izdevumu aprēķinu var pievienot anotācijas (</w:t>
            </w:r>
            <w:proofErr w:type="spellStart"/>
            <w:r>
              <w:rPr>
                <w:sz w:val="24"/>
              </w:rPr>
              <w:t>ex-ante)</w:t>
            </w:r>
            <w:proofErr w:type="spellEnd"/>
            <w:r>
              <w:rPr>
                <w:sz w:val="24"/>
              </w:rPr>
              <w:t xml:space="preserve"> pielikumā)</w:t>
            </w:r>
          </w:p>
        </w:tc>
        <w:tc>
          <w:tcPr>
            <w:tcW w:w="8435" w:type="dxa"/>
            <w:gridSpan w:val="7"/>
            <w:shd w:val="clear" w:color="auto" w:fill="FFFFFF"/>
            <w:noWrap/>
            <w:tcMar>
              <w:top w:w="75" w:type="dxa"/>
              <w:left w:w="75" w:type="dxa"/>
              <w:bottom w:w="75" w:type="dxa"/>
              <w:right w:w="75" w:type="dxa"/>
            </w:tcMar>
            <w:vAlign w:val="center"/>
          </w:tcPr>
          <w:p w14:paraId="10A1C9C5" w14:textId="19EC0935" w:rsidR="006B42D9" w:rsidRDefault="00E94686">
            <w:pPr>
              <w:spacing w:line="240" w:lineRule="auto"/>
            </w:pPr>
            <w:r>
              <w:rPr>
                <w:sz w:val="24"/>
              </w:rPr>
              <w:t>4.3.4.</w:t>
            </w:r>
            <w:r w:rsidR="00AB0F77">
              <w:rPr>
                <w:sz w:val="24"/>
              </w:rPr>
              <w:t>9</w:t>
            </w:r>
            <w:r>
              <w:rPr>
                <w:sz w:val="24"/>
              </w:rPr>
              <w:t xml:space="preserve">. pasākumam kopējais attiecināmais finansējums, lai slēgtu vienošanos par projektu īstenošanu, ir </w:t>
            </w:r>
            <w:r w:rsidR="00AB0F77">
              <w:rPr>
                <w:sz w:val="24"/>
              </w:rPr>
              <w:t>3</w:t>
            </w:r>
            <w:r>
              <w:rPr>
                <w:sz w:val="24"/>
              </w:rPr>
              <w:t> </w:t>
            </w:r>
            <w:r w:rsidR="00AB0F77">
              <w:rPr>
                <w:sz w:val="24"/>
              </w:rPr>
              <w:t>663</w:t>
            </w:r>
            <w:r>
              <w:rPr>
                <w:sz w:val="24"/>
              </w:rPr>
              <w:t> </w:t>
            </w:r>
            <w:r w:rsidR="00AB0F77">
              <w:rPr>
                <w:sz w:val="24"/>
              </w:rPr>
              <w:t>679</w:t>
            </w:r>
            <w:r>
              <w:rPr>
                <w:sz w:val="24"/>
              </w:rPr>
              <w:t> </w:t>
            </w:r>
            <w:r>
              <w:rPr>
                <w:i/>
                <w:sz w:val="24"/>
              </w:rPr>
              <w:t xml:space="preserve">euro </w:t>
            </w:r>
            <w:r>
              <w:rPr>
                <w:sz w:val="24"/>
              </w:rPr>
              <w:t xml:space="preserve">(ESF+ </w:t>
            </w:r>
            <w:r w:rsidR="00AB0F77">
              <w:rPr>
                <w:sz w:val="24"/>
              </w:rPr>
              <w:t>3</w:t>
            </w:r>
            <w:r>
              <w:rPr>
                <w:sz w:val="24"/>
              </w:rPr>
              <w:t> </w:t>
            </w:r>
            <w:r w:rsidR="00AB0F77">
              <w:rPr>
                <w:sz w:val="24"/>
              </w:rPr>
              <w:t>114</w:t>
            </w:r>
            <w:r>
              <w:rPr>
                <w:sz w:val="24"/>
              </w:rPr>
              <w:t> </w:t>
            </w:r>
            <w:r w:rsidR="00AB0F77">
              <w:rPr>
                <w:sz w:val="24"/>
              </w:rPr>
              <w:t>127</w:t>
            </w:r>
            <w:r>
              <w:rPr>
                <w:sz w:val="24"/>
              </w:rPr>
              <w:t xml:space="preserve"> </w:t>
            </w:r>
            <w:r>
              <w:rPr>
                <w:i/>
                <w:sz w:val="24"/>
              </w:rPr>
              <w:t xml:space="preserve">euro </w:t>
            </w:r>
            <w:r>
              <w:rPr>
                <w:sz w:val="24"/>
              </w:rPr>
              <w:t xml:space="preserve">un valsts budžeta līdzfinansējums </w:t>
            </w:r>
            <w:r w:rsidR="00AB0F77">
              <w:rPr>
                <w:sz w:val="24"/>
              </w:rPr>
              <w:t>549</w:t>
            </w:r>
            <w:r>
              <w:rPr>
                <w:sz w:val="24"/>
              </w:rPr>
              <w:t> </w:t>
            </w:r>
            <w:r w:rsidR="00AB0F77">
              <w:rPr>
                <w:sz w:val="24"/>
              </w:rPr>
              <w:t>55</w:t>
            </w:r>
            <w:r>
              <w:rPr>
                <w:sz w:val="24"/>
              </w:rPr>
              <w:t>2 </w:t>
            </w:r>
            <w:r>
              <w:rPr>
                <w:i/>
                <w:sz w:val="24"/>
              </w:rPr>
              <w:t>euro</w:t>
            </w:r>
            <w:r>
              <w:rPr>
                <w:sz w:val="24"/>
              </w:rPr>
              <w:t>).</w:t>
            </w:r>
          </w:p>
          <w:p w14:paraId="29C64BAE" w14:textId="77777777" w:rsidR="006B42D9" w:rsidRDefault="006B42D9">
            <w:pPr>
              <w:spacing w:line="240" w:lineRule="auto"/>
            </w:pPr>
          </w:p>
          <w:p w14:paraId="37522622" w14:textId="472426DF" w:rsidR="006B42D9" w:rsidRDefault="00E94686">
            <w:pPr>
              <w:spacing w:line="240" w:lineRule="auto"/>
            </w:pPr>
            <w:r>
              <w:rPr>
                <w:sz w:val="24"/>
              </w:rPr>
              <w:t xml:space="preserve">Kultūras ministrija kā atbildīgā iestāde no 2026. gada 1. janvāra pēc Eiropas Komisijas lēmuma par snieguma ietvara izpildi (Projekta </w:t>
            </w:r>
            <w:r w:rsidRPr="00951E0D">
              <w:rPr>
                <w:sz w:val="24"/>
              </w:rPr>
              <w:t>8.1. apakšpunktā minēto</w:t>
            </w:r>
            <w:r>
              <w:rPr>
                <w:sz w:val="24"/>
              </w:rPr>
              <w:t xml:space="preserve"> starpposma rādītāju sasniegšanas) var ierosināt palielināt specifiskajam atbalstam pieejamo kopējo attiecināmo finansējumu par noteikto elastības finansējuma summu: </w:t>
            </w:r>
            <w:r w:rsidR="00AB0F77">
              <w:rPr>
                <w:sz w:val="24"/>
              </w:rPr>
              <w:t>686</w:t>
            </w:r>
            <w:r>
              <w:rPr>
                <w:sz w:val="24"/>
              </w:rPr>
              <w:t> </w:t>
            </w:r>
            <w:r w:rsidR="00AB0F77">
              <w:rPr>
                <w:sz w:val="24"/>
              </w:rPr>
              <w:t>321</w:t>
            </w:r>
            <w:r>
              <w:rPr>
                <w:sz w:val="24"/>
              </w:rPr>
              <w:t> </w:t>
            </w:r>
            <w:r>
              <w:rPr>
                <w:i/>
                <w:sz w:val="24"/>
              </w:rPr>
              <w:t xml:space="preserve">euro </w:t>
            </w:r>
            <w:r>
              <w:rPr>
                <w:sz w:val="24"/>
              </w:rPr>
              <w:t>(ESF+  </w:t>
            </w:r>
            <w:r w:rsidR="00AB0F77">
              <w:rPr>
                <w:sz w:val="24"/>
              </w:rPr>
              <w:t>583</w:t>
            </w:r>
            <w:r>
              <w:rPr>
                <w:sz w:val="24"/>
              </w:rPr>
              <w:t> </w:t>
            </w:r>
            <w:r w:rsidR="00AB0F77">
              <w:rPr>
                <w:sz w:val="24"/>
              </w:rPr>
              <w:t>373</w:t>
            </w:r>
            <w:r>
              <w:rPr>
                <w:sz w:val="24"/>
              </w:rPr>
              <w:t xml:space="preserve"> </w:t>
            </w:r>
            <w:r>
              <w:rPr>
                <w:i/>
                <w:sz w:val="24"/>
              </w:rPr>
              <w:t>euro</w:t>
            </w:r>
            <w:r>
              <w:rPr>
                <w:sz w:val="24"/>
              </w:rPr>
              <w:t xml:space="preserve"> un valsts budžeta līdzfinansējums </w:t>
            </w:r>
            <w:r w:rsidR="00AB0F77">
              <w:rPr>
                <w:sz w:val="24"/>
              </w:rPr>
              <w:t>102</w:t>
            </w:r>
            <w:r>
              <w:rPr>
                <w:sz w:val="24"/>
              </w:rPr>
              <w:t> </w:t>
            </w:r>
            <w:r w:rsidR="00AB0F77">
              <w:rPr>
                <w:sz w:val="24"/>
              </w:rPr>
              <w:t>948</w:t>
            </w:r>
            <w:r>
              <w:rPr>
                <w:sz w:val="24"/>
              </w:rPr>
              <w:t> </w:t>
            </w:r>
            <w:r>
              <w:rPr>
                <w:i/>
                <w:sz w:val="24"/>
              </w:rPr>
              <w:t>euro</w:t>
            </w:r>
            <w:r>
              <w:rPr>
                <w:sz w:val="24"/>
              </w:rPr>
              <w:t>).</w:t>
            </w:r>
          </w:p>
          <w:p w14:paraId="658DAA9C" w14:textId="77777777" w:rsidR="006B42D9" w:rsidRDefault="006B42D9">
            <w:pPr>
              <w:spacing w:line="240" w:lineRule="auto"/>
            </w:pPr>
          </w:p>
          <w:p w14:paraId="06D70EB9" w14:textId="447A066F" w:rsidR="006B42D9" w:rsidRDefault="00E94686">
            <w:pPr>
              <w:spacing w:line="240" w:lineRule="auto"/>
            </w:pPr>
            <w:r>
              <w:rPr>
                <w:sz w:val="24"/>
              </w:rPr>
              <w:t>Pēc elastības finansējuma saņemšanas (</w:t>
            </w:r>
            <w:r w:rsidR="00AB0F77">
              <w:rPr>
                <w:sz w:val="24"/>
              </w:rPr>
              <w:t>686</w:t>
            </w:r>
            <w:r>
              <w:rPr>
                <w:sz w:val="24"/>
              </w:rPr>
              <w:t> </w:t>
            </w:r>
            <w:r w:rsidR="00AB0F77">
              <w:rPr>
                <w:sz w:val="24"/>
              </w:rPr>
              <w:t>321</w:t>
            </w:r>
            <w:r>
              <w:rPr>
                <w:sz w:val="24"/>
              </w:rPr>
              <w:t> </w:t>
            </w:r>
            <w:r>
              <w:rPr>
                <w:i/>
                <w:sz w:val="24"/>
              </w:rPr>
              <w:t>euro</w:t>
            </w:r>
            <w:r>
              <w:rPr>
                <w:sz w:val="24"/>
              </w:rPr>
              <w:t xml:space="preserve">) specifiskā atbalsta kopējais attiecināmais finansējums būs </w:t>
            </w:r>
            <w:r w:rsidR="00AB0F77">
              <w:rPr>
                <w:sz w:val="24"/>
              </w:rPr>
              <w:t>4</w:t>
            </w:r>
            <w:r>
              <w:rPr>
                <w:sz w:val="24"/>
              </w:rPr>
              <w:t> </w:t>
            </w:r>
            <w:r w:rsidR="00AB0F77">
              <w:rPr>
                <w:sz w:val="24"/>
              </w:rPr>
              <w:t>350</w:t>
            </w:r>
            <w:r>
              <w:rPr>
                <w:sz w:val="24"/>
              </w:rPr>
              <w:t> </w:t>
            </w:r>
            <w:r w:rsidR="004F384A">
              <w:rPr>
                <w:sz w:val="24"/>
              </w:rPr>
              <w:t>0</w:t>
            </w:r>
            <w:r>
              <w:rPr>
                <w:sz w:val="24"/>
              </w:rPr>
              <w:t xml:space="preserve">00 </w:t>
            </w:r>
            <w:r>
              <w:rPr>
                <w:i/>
                <w:sz w:val="24"/>
              </w:rPr>
              <w:t xml:space="preserve">euro </w:t>
            </w:r>
            <w:r>
              <w:rPr>
                <w:sz w:val="24"/>
              </w:rPr>
              <w:t xml:space="preserve">(ESF+ finansējums </w:t>
            </w:r>
            <w:r w:rsidR="00AB0F77">
              <w:rPr>
                <w:sz w:val="24"/>
              </w:rPr>
              <w:t>3</w:t>
            </w:r>
            <w:r>
              <w:rPr>
                <w:sz w:val="24"/>
              </w:rPr>
              <w:t> </w:t>
            </w:r>
            <w:r w:rsidR="00AB0F77">
              <w:rPr>
                <w:sz w:val="24"/>
              </w:rPr>
              <w:t>697</w:t>
            </w:r>
            <w:r>
              <w:rPr>
                <w:sz w:val="24"/>
              </w:rPr>
              <w:t xml:space="preserve"> 500 </w:t>
            </w:r>
            <w:r>
              <w:rPr>
                <w:i/>
                <w:sz w:val="24"/>
              </w:rPr>
              <w:t xml:space="preserve">euro </w:t>
            </w:r>
            <w:r>
              <w:rPr>
                <w:sz w:val="24"/>
              </w:rPr>
              <w:t xml:space="preserve">un valsts budžeta līdzfinansējums </w:t>
            </w:r>
            <w:r w:rsidR="00AB0F77">
              <w:rPr>
                <w:sz w:val="24"/>
              </w:rPr>
              <w:t>652</w:t>
            </w:r>
            <w:r>
              <w:rPr>
                <w:sz w:val="24"/>
              </w:rPr>
              <w:t xml:space="preserve"> 500 </w:t>
            </w:r>
            <w:r>
              <w:rPr>
                <w:i/>
                <w:sz w:val="24"/>
              </w:rPr>
              <w:t>euro</w:t>
            </w:r>
            <w:r>
              <w:rPr>
                <w:sz w:val="24"/>
              </w:rPr>
              <w:t>).</w:t>
            </w:r>
          </w:p>
          <w:p w14:paraId="035C7FD7" w14:textId="77777777" w:rsidR="006B42D9" w:rsidRDefault="006B42D9">
            <w:pPr>
              <w:spacing w:line="240" w:lineRule="auto"/>
            </w:pPr>
          </w:p>
          <w:p w14:paraId="0EA10A2A" w14:textId="77777777" w:rsidR="006B42D9" w:rsidRDefault="00E94686">
            <w:pPr>
              <w:spacing w:line="240" w:lineRule="auto"/>
            </w:pPr>
            <w:r>
              <w:rPr>
                <w:sz w:val="24"/>
              </w:rPr>
              <w:t>Budžeta ieņēmumi ir finansējuma ESF+ daļa 85% apmērā no projektu attiecināmām izmaksām un valsts budžeta līdzfinansējuma daļa 15% apmērā.</w:t>
            </w:r>
          </w:p>
          <w:p w14:paraId="530FA36E" w14:textId="77777777" w:rsidR="006B42D9" w:rsidRDefault="00E94686">
            <w:pPr>
              <w:spacing w:line="240" w:lineRule="auto"/>
            </w:pPr>
            <w:r>
              <w:rPr>
                <w:sz w:val="24"/>
              </w:rPr>
              <w:t>Plānots šāds finansējuma sadalījums:</w:t>
            </w:r>
          </w:p>
          <w:p w14:paraId="6CBD8692" w14:textId="30D99C25" w:rsidR="006B42D9" w:rsidRPr="004C2209" w:rsidRDefault="00E94686">
            <w:pPr>
              <w:spacing w:line="240" w:lineRule="auto"/>
            </w:pPr>
            <w:r w:rsidRPr="004C2209">
              <w:rPr>
                <w:sz w:val="24"/>
              </w:rPr>
              <w:t xml:space="preserve">2025. gadā </w:t>
            </w:r>
            <w:r w:rsidR="00931638" w:rsidRPr="004C2209">
              <w:rPr>
                <w:sz w:val="24"/>
              </w:rPr>
              <w:t>7</w:t>
            </w:r>
            <w:r w:rsidRPr="004C2209">
              <w:rPr>
                <w:sz w:val="24"/>
              </w:rPr>
              <w:t>3</w:t>
            </w:r>
            <w:r w:rsidR="00931638" w:rsidRPr="004C2209">
              <w:rPr>
                <w:sz w:val="24"/>
              </w:rPr>
              <w:t>2</w:t>
            </w:r>
            <w:r w:rsidRPr="004C2209">
              <w:rPr>
                <w:sz w:val="24"/>
              </w:rPr>
              <w:t> </w:t>
            </w:r>
            <w:r w:rsidR="00931638" w:rsidRPr="004C2209">
              <w:rPr>
                <w:sz w:val="24"/>
              </w:rPr>
              <w:t>7</w:t>
            </w:r>
            <w:r w:rsidRPr="004C2209">
              <w:rPr>
                <w:sz w:val="24"/>
              </w:rPr>
              <w:t xml:space="preserve">35 </w:t>
            </w:r>
            <w:r w:rsidRPr="004C2209">
              <w:rPr>
                <w:i/>
                <w:sz w:val="24"/>
              </w:rPr>
              <w:t>euro</w:t>
            </w:r>
            <w:r w:rsidRPr="004C2209">
              <w:rPr>
                <w:sz w:val="24"/>
              </w:rPr>
              <w:t xml:space="preserve">; (ESF+ </w:t>
            </w:r>
            <w:r w:rsidR="00931638" w:rsidRPr="004C2209">
              <w:rPr>
                <w:sz w:val="24"/>
              </w:rPr>
              <w:t>622</w:t>
            </w:r>
            <w:r w:rsidRPr="004C2209">
              <w:rPr>
                <w:sz w:val="24"/>
              </w:rPr>
              <w:t> 8</w:t>
            </w:r>
            <w:r w:rsidR="00931638" w:rsidRPr="004C2209">
              <w:rPr>
                <w:sz w:val="24"/>
              </w:rPr>
              <w:t>25</w:t>
            </w:r>
            <w:r w:rsidRPr="004C2209">
              <w:rPr>
                <w:sz w:val="24"/>
              </w:rPr>
              <w:t xml:space="preserve"> </w:t>
            </w:r>
            <w:r w:rsidRPr="004C2209">
              <w:rPr>
                <w:i/>
                <w:sz w:val="24"/>
              </w:rPr>
              <w:t>euro</w:t>
            </w:r>
            <w:r w:rsidRPr="004C2209">
              <w:rPr>
                <w:sz w:val="24"/>
              </w:rPr>
              <w:t xml:space="preserve">; valsts budžeta līdzfinansējums </w:t>
            </w:r>
            <w:r w:rsidR="0013186A" w:rsidRPr="004C2209">
              <w:rPr>
                <w:sz w:val="24"/>
              </w:rPr>
              <w:t>109</w:t>
            </w:r>
            <w:r w:rsidRPr="004C2209">
              <w:rPr>
                <w:sz w:val="24"/>
              </w:rPr>
              <w:t> 9</w:t>
            </w:r>
            <w:r w:rsidR="0013186A" w:rsidRPr="004C2209">
              <w:rPr>
                <w:sz w:val="24"/>
              </w:rPr>
              <w:t>10</w:t>
            </w:r>
            <w:r w:rsidRPr="004C2209">
              <w:rPr>
                <w:sz w:val="24"/>
              </w:rPr>
              <w:t xml:space="preserve"> </w:t>
            </w:r>
            <w:r w:rsidRPr="004C2209">
              <w:rPr>
                <w:i/>
                <w:sz w:val="24"/>
              </w:rPr>
              <w:t>euro</w:t>
            </w:r>
            <w:r w:rsidRPr="004C2209">
              <w:rPr>
                <w:sz w:val="24"/>
              </w:rPr>
              <w:t>);</w:t>
            </w:r>
          </w:p>
          <w:p w14:paraId="3DE07577" w14:textId="5BF83577" w:rsidR="006B42D9" w:rsidRPr="004C2209" w:rsidRDefault="00E94686">
            <w:pPr>
              <w:spacing w:line="240" w:lineRule="auto"/>
            </w:pPr>
            <w:r w:rsidRPr="004C2209">
              <w:rPr>
                <w:sz w:val="24"/>
              </w:rPr>
              <w:t xml:space="preserve">2026. gadā </w:t>
            </w:r>
            <w:r w:rsidR="00931638" w:rsidRPr="004C2209">
              <w:rPr>
                <w:sz w:val="24"/>
              </w:rPr>
              <w:t>732</w:t>
            </w:r>
            <w:r w:rsidRPr="004C2209">
              <w:rPr>
                <w:sz w:val="24"/>
              </w:rPr>
              <w:t xml:space="preserve"> </w:t>
            </w:r>
            <w:r w:rsidR="00931638" w:rsidRPr="004C2209">
              <w:rPr>
                <w:sz w:val="24"/>
              </w:rPr>
              <w:t>7</w:t>
            </w:r>
            <w:r w:rsidRPr="004C2209">
              <w:rPr>
                <w:sz w:val="24"/>
              </w:rPr>
              <w:t xml:space="preserve">35 </w:t>
            </w:r>
            <w:r w:rsidRPr="004C2209">
              <w:rPr>
                <w:i/>
                <w:sz w:val="24"/>
              </w:rPr>
              <w:t>euro</w:t>
            </w:r>
            <w:r w:rsidRPr="004C2209">
              <w:rPr>
                <w:sz w:val="24"/>
              </w:rPr>
              <w:t xml:space="preserve">; (ESF+ </w:t>
            </w:r>
            <w:r w:rsidR="00931638" w:rsidRPr="004C2209">
              <w:rPr>
                <w:sz w:val="24"/>
              </w:rPr>
              <w:t>622</w:t>
            </w:r>
            <w:r w:rsidRPr="004C2209">
              <w:rPr>
                <w:sz w:val="24"/>
              </w:rPr>
              <w:t> 8</w:t>
            </w:r>
            <w:r w:rsidR="00931638" w:rsidRPr="004C2209">
              <w:rPr>
                <w:sz w:val="24"/>
              </w:rPr>
              <w:t>25</w:t>
            </w:r>
            <w:r w:rsidRPr="004C2209">
              <w:rPr>
                <w:sz w:val="24"/>
              </w:rPr>
              <w:t xml:space="preserve"> </w:t>
            </w:r>
            <w:r w:rsidRPr="004C2209">
              <w:rPr>
                <w:i/>
                <w:sz w:val="24"/>
              </w:rPr>
              <w:t>euro</w:t>
            </w:r>
            <w:r w:rsidRPr="004C2209">
              <w:rPr>
                <w:sz w:val="24"/>
              </w:rPr>
              <w:t xml:space="preserve">; valsts budžeta līdzfinansējums </w:t>
            </w:r>
            <w:r w:rsidR="0013186A" w:rsidRPr="004C2209">
              <w:rPr>
                <w:sz w:val="24"/>
              </w:rPr>
              <w:t>109</w:t>
            </w:r>
            <w:r w:rsidRPr="004C2209">
              <w:rPr>
                <w:sz w:val="24"/>
              </w:rPr>
              <w:t> 9</w:t>
            </w:r>
            <w:r w:rsidR="0013186A" w:rsidRPr="004C2209">
              <w:rPr>
                <w:sz w:val="24"/>
              </w:rPr>
              <w:t>10</w:t>
            </w:r>
            <w:r w:rsidRPr="004C2209">
              <w:rPr>
                <w:sz w:val="24"/>
              </w:rPr>
              <w:t xml:space="preserve"> </w:t>
            </w:r>
            <w:r w:rsidRPr="004C2209">
              <w:rPr>
                <w:i/>
                <w:sz w:val="24"/>
              </w:rPr>
              <w:t>euro</w:t>
            </w:r>
            <w:r w:rsidRPr="004C2209">
              <w:rPr>
                <w:sz w:val="24"/>
              </w:rPr>
              <w:t>);</w:t>
            </w:r>
          </w:p>
          <w:p w14:paraId="67073BC2" w14:textId="50D23C8F" w:rsidR="006B42D9" w:rsidRPr="004C2209" w:rsidRDefault="00E94686">
            <w:pPr>
              <w:spacing w:line="240" w:lineRule="auto"/>
            </w:pPr>
            <w:r w:rsidRPr="004C2209">
              <w:rPr>
                <w:sz w:val="24"/>
              </w:rPr>
              <w:t xml:space="preserve">2027. gadā </w:t>
            </w:r>
            <w:r w:rsidR="00931638" w:rsidRPr="004C2209">
              <w:rPr>
                <w:sz w:val="24"/>
              </w:rPr>
              <w:t>7</w:t>
            </w:r>
            <w:r w:rsidRPr="004C2209">
              <w:rPr>
                <w:sz w:val="24"/>
              </w:rPr>
              <w:t>3</w:t>
            </w:r>
            <w:r w:rsidR="00931638" w:rsidRPr="004C2209">
              <w:rPr>
                <w:sz w:val="24"/>
              </w:rPr>
              <w:t>2</w:t>
            </w:r>
            <w:r w:rsidRPr="004C2209">
              <w:rPr>
                <w:sz w:val="24"/>
              </w:rPr>
              <w:t xml:space="preserve"> </w:t>
            </w:r>
            <w:r w:rsidR="00931638" w:rsidRPr="004C2209">
              <w:rPr>
                <w:sz w:val="24"/>
              </w:rPr>
              <w:t>7</w:t>
            </w:r>
            <w:r w:rsidRPr="004C2209">
              <w:rPr>
                <w:sz w:val="24"/>
              </w:rPr>
              <w:t xml:space="preserve">35 </w:t>
            </w:r>
            <w:r w:rsidRPr="004C2209">
              <w:rPr>
                <w:i/>
                <w:sz w:val="24"/>
              </w:rPr>
              <w:t>euro</w:t>
            </w:r>
            <w:r w:rsidRPr="004C2209">
              <w:rPr>
                <w:sz w:val="24"/>
              </w:rPr>
              <w:t xml:space="preserve">; (ESF+ </w:t>
            </w:r>
            <w:r w:rsidR="00931638" w:rsidRPr="004C2209">
              <w:rPr>
                <w:sz w:val="24"/>
              </w:rPr>
              <w:t>622</w:t>
            </w:r>
            <w:r w:rsidRPr="004C2209">
              <w:rPr>
                <w:sz w:val="24"/>
              </w:rPr>
              <w:t> 8</w:t>
            </w:r>
            <w:r w:rsidR="00931638" w:rsidRPr="004C2209">
              <w:rPr>
                <w:sz w:val="24"/>
              </w:rPr>
              <w:t>25</w:t>
            </w:r>
            <w:r w:rsidRPr="004C2209">
              <w:rPr>
                <w:sz w:val="24"/>
              </w:rPr>
              <w:t xml:space="preserve"> </w:t>
            </w:r>
            <w:r w:rsidRPr="004C2209">
              <w:rPr>
                <w:i/>
                <w:sz w:val="24"/>
              </w:rPr>
              <w:t>euro</w:t>
            </w:r>
            <w:r w:rsidRPr="004C2209">
              <w:rPr>
                <w:sz w:val="24"/>
              </w:rPr>
              <w:t xml:space="preserve">; valsts budžeta līdzfinansējums </w:t>
            </w:r>
            <w:r w:rsidR="0013186A" w:rsidRPr="004C2209">
              <w:rPr>
                <w:sz w:val="24"/>
              </w:rPr>
              <w:t>109</w:t>
            </w:r>
            <w:r w:rsidRPr="004C2209">
              <w:rPr>
                <w:sz w:val="24"/>
              </w:rPr>
              <w:t> 9</w:t>
            </w:r>
            <w:r w:rsidR="0013186A" w:rsidRPr="004C2209">
              <w:rPr>
                <w:sz w:val="24"/>
              </w:rPr>
              <w:t>10</w:t>
            </w:r>
            <w:r w:rsidRPr="004C2209">
              <w:rPr>
                <w:sz w:val="24"/>
              </w:rPr>
              <w:t xml:space="preserve"> </w:t>
            </w:r>
            <w:r w:rsidRPr="004C2209">
              <w:rPr>
                <w:i/>
                <w:sz w:val="24"/>
              </w:rPr>
              <w:t>euro</w:t>
            </w:r>
            <w:r w:rsidRPr="004C2209">
              <w:rPr>
                <w:sz w:val="24"/>
              </w:rPr>
              <w:t>);</w:t>
            </w:r>
          </w:p>
          <w:p w14:paraId="1B8C600A" w14:textId="614CAB5C" w:rsidR="006B42D9" w:rsidRPr="004C2209" w:rsidRDefault="00E94686">
            <w:pPr>
              <w:spacing w:line="240" w:lineRule="auto"/>
            </w:pPr>
            <w:r w:rsidRPr="004C2209">
              <w:rPr>
                <w:sz w:val="24"/>
              </w:rPr>
              <w:lastRenderedPageBreak/>
              <w:t xml:space="preserve">2028. gadā </w:t>
            </w:r>
            <w:r w:rsidR="00931638" w:rsidRPr="004C2209">
              <w:rPr>
                <w:sz w:val="24"/>
              </w:rPr>
              <w:t>732</w:t>
            </w:r>
            <w:r w:rsidRPr="004C2209">
              <w:rPr>
                <w:sz w:val="24"/>
              </w:rPr>
              <w:t xml:space="preserve"> 35 </w:t>
            </w:r>
            <w:r w:rsidRPr="004C2209">
              <w:rPr>
                <w:i/>
                <w:sz w:val="24"/>
              </w:rPr>
              <w:t>euro</w:t>
            </w:r>
            <w:r w:rsidRPr="004C2209">
              <w:rPr>
                <w:sz w:val="24"/>
              </w:rPr>
              <w:t xml:space="preserve">; (ESF+ </w:t>
            </w:r>
            <w:r w:rsidR="00931638" w:rsidRPr="004C2209">
              <w:rPr>
                <w:sz w:val="24"/>
              </w:rPr>
              <w:t>622</w:t>
            </w:r>
            <w:r w:rsidRPr="004C2209">
              <w:rPr>
                <w:sz w:val="24"/>
              </w:rPr>
              <w:t> 8</w:t>
            </w:r>
            <w:r w:rsidR="00931638" w:rsidRPr="004C2209">
              <w:rPr>
                <w:sz w:val="24"/>
              </w:rPr>
              <w:t>25</w:t>
            </w:r>
            <w:r w:rsidRPr="004C2209">
              <w:rPr>
                <w:sz w:val="24"/>
              </w:rPr>
              <w:t xml:space="preserve"> </w:t>
            </w:r>
            <w:r w:rsidRPr="004C2209">
              <w:rPr>
                <w:i/>
                <w:sz w:val="24"/>
              </w:rPr>
              <w:t>euro</w:t>
            </w:r>
            <w:r w:rsidRPr="004C2209">
              <w:rPr>
                <w:sz w:val="24"/>
              </w:rPr>
              <w:t xml:space="preserve">; valsts budžeta līdzfinansējums </w:t>
            </w:r>
            <w:r w:rsidR="0013186A" w:rsidRPr="004C2209">
              <w:rPr>
                <w:sz w:val="24"/>
              </w:rPr>
              <w:t>109</w:t>
            </w:r>
            <w:r w:rsidRPr="004C2209">
              <w:rPr>
                <w:sz w:val="24"/>
              </w:rPr>
              <w:t> 9</w:t>
            </w:r>
            <w:r w:rsidR="0013186A" w:rsidRPr="004C2209">
              <w:rPr>
                <w:sz w:val="24"/>
              </w:rPr>
              <w:t>10</w:t>
            </w:r>
            <w:r w:rsidRPr="004C2209">
              <w:rPr>
                <w:sz w:val="24"/>
              </w:rPr>
              <w:t xml:space="preserve"> </w:t>
            </w:r>
            <w:r w:rsidRPr="004C2209">
              <w:rPr>
                <w:i/>
                <w:sz w:val="24"/>
              </w:rPr>
              <w:t>euro</w:t>
            </w:r>
            <w:r w:rsidRPr="004C2209">
              <w:rPr>
                <w:sz w:val="24"/>
              </w:rPr>
              <w:t>);</w:t>
            </w:r>
          </w:p>
          <w:p w14:paraId="734D1BF3" w14:textId="24B7583F" w:rsidR="006B42D9" w:rsidRDefault="00E94686">
            <w:pPr>
              <w:spacing w:line="240" w:lineRule="auto"/>
            </w:pPr>
            <w:r w:rsidRPr="004C2209">
              <w:rPr>
                <w:sz w:val="24"/>
              </w:rPr>
              <w:t xml:space="preserve">2029. gadā </w:t>
            </w:r>
            <w:r w:rsidR="00931638" w:rsidRPr="004C2209">
              <w:rPr>
                <w:sz w:val="24"/>
              </w:rPr>
              <w:t>732</w:t>
            </w:r>
            <w:r w:rsidRPr="004C2209">
              <w:rPr>
                <w:sz w:val="24"/>
              </w:rPr>
              <w:t xml:space="preserve"> </w:t>
            </w:r>
            <w:r w:rsidR="00931638" w:rsidRPr="004C2209">
              <w:rPr>
                <w:sz w:val="24"/>
              </w:rPr>
              <w:t>7</w:t>
            </w:r>
            <w:r w:rsidRPr="004C2209">
              <w:rPr>
                <w:sz w:val="24"/>
              </w:rPr>
              <w:t>3</w:t>
            </w:r>
            <w:r w:rsidR="00931638" w:rsidRPr="004C2209">
              <w:rPr>
                <w:sz w:val="24"/>
              </w:rPr>
              <w:t>5</w:t>
            </w:r>
            <w:r w:rsidRPr="004C2209">
              <w:rPr>
                <w:sz w:val="24"/>
              </w:rPr>
              <w:t> </w:t>
            </w:r>
            <w:r w:rsidRPr="004C2209">
              <w:rPr>
                <w:i/>
                <w:sz w:val="24"/>
              </w:rPr>
              <w:t>euro</w:t>
            </w:r>
            <w:r w:rsidRPr="004C2209">
              <w:rPr>
                <w:sz w:val="24"/>
              </w:rPr>
              <w:t xml:space="preserve"> (bez elastības finansējuma: </w:t>
            </w:r>
            <w:r w:rsidR="00931638" w:rsidRPr="004C2209">
              <w:rPr>
                <w:sz w:val="24"/>
              </w:rPr>
              <w:t>686</w:t>
            </w:r>
            <w:r w:rsidRPr="004C2209">
              <w:rPr>
                <w:sz w:val="24"/>
              </w:rPr>
              <w:t> </w:t>
            </w:r>
            <w:r w:rsidR="00931638" w:rsidRPr="004C2209">
              <w:rPr>
                <w:sz w:val="24"/>
              </w:rPr>
              <w:t>321</w:t>
            </w:r>
            <w:r w:rsidRPr="004C2209">
              <w:rPr>
                <w:sz w:val="24"/>
              </w:rPr>
              <w:t> </w:t>
            </w:r>
            <w:r w:rsidRPr="004C2209">
              <w:rPr>
                <w:i/>
                <w:sz w:val="24"/>
              </w:rPr>
              <w:t>euro</w:t>
            </w:r>
            <w:r w:rsidRPr="004C2209">
              <w:rPr>
                <w:sz w:val="24"/>
              </w:rPr>
              <w:t xml:space="preserve">) (ESF+ </w:t>
            </w:r>
            <w:r w:rsidR="00931638" w:rsidRPr="004C2209">
              <w:rPr>
                <w:sz w:val="24"/>
              </w:rPr>
              <w:t>622</w:t>
            </w:r>
            <w:r w:rsidRPr="004C2209">
              <w:rPr>
                <w:sz w:val="24"/>
              </w:rPr>
              <w:t> </w:t>
            </w:r>
            <w:r w:rsidR="00931638" w:rsidRPr="004C2209">
              <w:rPr>
                <w:sz w:val="24"/>
              </w:rPr>
              <w:t>827</w:t>
            </w:r>
            <w:r w:rsidRPr="004C2209">
              <w:rPr>
                <w:sz w:val="24"/>
              </w:rPr>
              <w:t xml:space="preserve"> </w:t>
            </w:r>
            <w:r w:rsidRPr="004C2209">
              <w:rPr>
                <w:i/>
                <w:sz w:val="24"/>
              </w:rPr>
              <w:t>euro</w:t>
            </w:r>
            <w:r w:rsidRPr="004C2209">
              <w:rPr>
                <w:sz w:val="24"/>
              </w:rPr>
              <w:t xml:space="preserve">; valsts budžeta līdzfinansējums </w:t>
            </w:r>
            <w:r w:rsidR="0013186A" w:rsidRPr="004C2209">
              <w:rPr>
                <w:sz w:val="24"/>
              </w:rPr>
              <w:t>109</w:t>
            </w:r>
            <w:r w:rsidRPr="004C2209">
              <w:rPr>
                <w:sz w:val="24"/>
              </w:rPr>
              <w:t> 9</w:t>
            </w:r>
            <w:r w:rsidR="0013186A" w:rsidRPr="004C2209">
              <w:rPr>
                <w:sz w:val="24"/>
              </w:rPr>
              <w:t>12</w:t>
            </w:r>
            <w:r w:rsidRPr="004C2209">
              <w:rPr>
                <w:sz w:val="24"/>
              </w:rPr>
              <w:t> </w:t>
            </w:r>
            <w:r w:rsidRPr="004C2209">
              <w:rPr>
                <w:i/>
                <w:sz w:val="24"/>
              </w:rPr>
              <w:t>euro</w:t>
            </w:r>
            <w:r w:rsidRPr="004C2209">
              <w:rPr>
                <w:sz w:val="24"/>
              </w:rPr>
              <w:t>).</w:t>
            </w:r>
          </w:p>
        </w:tc>
      </w:tr>
      <w:tr w:rsidR="006B42D9" w14:paraId="649751F8" w14:textId="77777777">
        <w:tc>
          <w:tcPr>
            <w:tcW w:w="1205" w:type="dxa"/>
            <w:shd w:val="clear" w:color="auto" w:fill="FFFFFF"/>
            <w:noWrap/>
            <w:tcMar>
              <w:top w:w="75" w:type="dxa"/>
              <w:left w:w="75" w:type="dxa"/>
              <w:bottom w:w="75" w:type="dxa"/>
              <w:right w:w="75" w:type="dxa"/>
            </w:tcMar>
            <w:vAlign w:val="center"/>
          </w:tcPr>
          <w:p w14:paraId="66CD08F4" w14:textId="77777777" w:rsidR="006B42D9" w:rsidRDefault="00E94686">
            <w:pPr>
              <w:spacing w:line="240" w:lineRule="auto"/>
              <w:rPr>
                <w:sz w:val="24"/>
              </w:rPr>
            </w:pPr>
            <w:r>
              <w:rPr>
                <w:sz w:val="24"/>
              </w:rPr>
              <w:lastRenderedPageBreak/>
              <w:t>6.1. detalizēts ieņēmumu aprēķins</w:t>
            </w:r>
          </w:p>
        </w:tc>
        <w:tc>
          <w:tcPr>
            <w:tcW w:w="8435" w:type="dxa"/>
            <w:gridSpan w:val="7"/>
            <w:shd w:val="clear" w:color="auto" w:fill="FFFFFF"/>
            <w:noWrap/>
            <w:tcMar>
              <w:top w:w="75" w:type="dxa"/>
              <w:left w:w="75" w:type="dxa"/>
              <w:bottom w:w="75" w:type="dxa"/>
              <w:right w:w="75" w:type="dxa"/>
            </w:tcMar>
            <w:vAlign w:val="center"/>
          </w:tcPr>
          <w:p w14:paraId="62DD7326" w14:textId="77777777" w:rsidR="006B42D9" w:rsidRDefault="00E94686">
            <w:pPr>
              <w:spacing w:line="240" w:lineRule="auto"/>
            </w:pPr>
            <w:r>
              <w:rPr>
                <w:sz w:val="24"/>
              </w:rPr>
              <w:t>-</w:t>
            </w:r>
          </w:p>
        </w:tc>
      </w:tr>
      <w:tr w:rsidR="006B42D9" w14:paraId="4202EF00" w14:textId="77777777">
        <w:tc>
          <w:tcPr>
            <w:tcW w:w="1205" w:type="dxa"/>
            <w:shd w:val="clear" w:color="auto" w:fill="FFFFFF"/>
            <w:noWrap/>
            <w:tcMar>
              <w:top w:w="75" w:type="dxa"/>
              <w:left w:w="75" w:type="dxa"/>
              <w:bottom w:w="75" w:type="dxa"/>
              <w:right w:w="75" w:type="dxa"/>
            </w:tcMar>
            <w:vAlign w:val="center"/>
          </w:tcPr>
          <w:p w14:paraId="1C3076C8" w14:textId="77777777" w:rsidR="006B42D9" w:rsidRDefault="00E94686">
            <w:pPr>
              <w:spacing w:line="240" w:lineRule="auto"/>
              <w:rPr>
                <w:sz w:val="24"/>
              </w:rPr>
            </w:pPr>
            <w:r>
              <w:rPr>
                <w:sz w:val="24"/>
              </w:rPr>
              <w:t>6.2. detalizēts izdevumu aprēķins</w:t>
            </w:r>
          </w:p>
        </w:tc>
        <w:tc>
          <w:tcPr>
            <w:tcW w:w="8435" w:type="dxa"/>
            <w:gridSpan w:val="7"/>
            <w:shd w:val="clear" w:color="auto" w:fill="FFFFFF"/>
            <w:noWrap/>
            <w:tcMar>
              <w:top w:w="75" w:type="dxa"/>
              <w:left w:w="75" w:type="dxa"/>
              <w:bottom w:w="75" w:type="dxa"/>
              <w:right w:w="75" w:type="dxa"/>
            </w:tcMar>
            <w:vAlign w:val="center"/>
          </w:tcPr>
          <w:p w14:paraId="0A49886A" w14:textId="77777777" w:rsidR="006B42D9" w:rsidRDefault="00E94686">
            <w:pPr>
              <w:spacing w:line="240" w:lineRule="auto"/>
            </w:pPr>
            <w:r>
              <w:rPr>
                <w:sz w:val="24"/>
              </w:rPr>
              <w:t>-</w:t>
            </w:r>
          </w:p>
        </w:tc>
      </w:tr>
      <w:tr w:rsidR="006B42D9" w14:paraId="2F7E39A4" w14:textId="77777777">
        <w:tc>
          <w:tcPr>
            <w:tcW w:w="1205" w:type="dxa"/>
            <w:shd w:val="clear" w:color="auto" w:fill="FFFFFF"/>
            <w:noWrap/>
            <w:tcMar>
              <w:top w:w="75" w:type="dxa"/>
              <w:left w:w="75" w:type="dxa"/>
              <w:bottom w:w="75" w:type="dxa"/>
              <w:right w:w="75" w:type="dxa"/>
            </w:tcMar>
            <w:vAlign w:val="center"/>
          </w:tcPr>
          <w:p w14:paraId="05979816" w14:textId="77777777" w:rsidR="006B42D9" w:rsidRDefault="00E94686">
            <w:pPr>
              <w:spacing w:line="240" w:lineRule="auto"/>
              <w:rPr>
                <w:sz w:val="24"/>
              </w:rPr>
            </w:pPr>
            <w:r>
              <w:rPr>
                <w:sz w:val="24"/>
              </w:rPr>
              <w:t>7. Amata vietu skaita izmaiņas (palielinājuma gadījumā: izvērsts pamatojums, izvērtējums par esošo resursu pārskatīšanas iespējām, t.sk. vakanto štata vietu, ilgstošo vakanču izmantošanu u.c.)</w:t>
            </w:r>
          </w:p>
        </w:tc>
        <w:tc>
          <w:tcPr>
            <w:tcW w:w="8435" w:type="dxa"/>
            <w:gridSpan w:val="7"/>
            <w:shd w:val="clear" w:color="auto" w:fill="FFFFFF"/>
            <w:noWrap/>
            <w:tcMar>
              <w:top w:w="75" w:type="dxa"/>
              <w:left w:w="75" w:type="dxa"/>
              <w:bottom w:w="75" w:type="dxa"/>
              <w:right w:w="75" w:type="dxa"/>
            </w:tcMar>
            <w:vAlign w:val="center"/>
          </w:tcPr>
          <w:p w14:paraId="40419858" w14:textId="19B5C695" w:rsidR="006B42D9" w:rsidRDefault="006B42D9">
            <w:pPr>
              <w:spacing w:line="240" w:lineRule="auto"/>
            </w:pPr>
          </w:p>
        </w:tc>
      </w:tr>
    </w:tbl>
    <w:p w14:paraId="187621F8" w14:textId="77777777" w:rsidR="006B42D9" w:rsidRDefault="006B42D9"/>
    <w:p w14:paraId="0701F553" w14:textId="77777777" w:rsidR="006B42D9" w:rsidRDefault="00E94686">
      <w:pPr>
        <w:spacing w:before="90" w:after="90"/>
      </w:pPr>
      <w:r>
        <w:rPr>
          <w:b/>
        </w:rPr>
        <w:t>Cita informācija</w:t>
      </w:r>
    </w:p>
    <w:p w14:paraId="712D168A" w14:textId="77777777" w:rsidR="006B42D9" w:rsidRDefault="00E94686">
      <w:r>
        <w:t>-</w:t>
      </w:r>
    </w:p>
    <w:p w14:paraId="69C69E79" w14:textId="77777777" w:rsidR="006B42D9" w:rsidRDefault="00E94686">
      <w:pPr>
        <w:spacing w:before="180"/>
      </w:pPr>
      <w:r>
        <w:rPr>
          <w:b/>
          <w:sz w:val="32"/>
        </w:rPr>
        <w:t>4. Tiesību akta projekta ietekme uz spēkā esošo tiesību normu sistēmu</w:t>
      </w:r>
    </w:p>
    <w:p w14:paraId="03BA68FE" w14:textId="77777777" w:rsidR="006B42D9" w:rsidRDefault="00E94686">
      <w:pPr>
        <w:spacing w:before="90" w:after="90"/>
      </w:pPr>
      <w:r>
        <w:rPr>
          <w:b/>
        </w:rPr>
        <w:t>Vai projekts skar šo jomu?</w:t>
      </w:r>
    </w:p>
    <w:p w14:paraId="215A945E" w14:textId="77777777" w:rsidR="006B42D9" w:rsidRDefault="00E94686">
      <w:r>
        <w:t>Nē</w:t>
      </w:r>
    </w:p>
    <w:p w14:paraId="2AFAA78D" w14:textId="77777777" w:rsidR="006B42D9" w:rsidRDefault="00E94686">
      <w:pPr>
        <w:spacing w:before="270" w:after="180"/>
      </w:pPr>
      <w:r>
        <w:rPr>
          <w:b/>
          <w:sz w:val="30"/>
        </w:rPr>
        <w:t>4.2. Cita informācija</w:t>
      </w:r>
    </w:p>
    <w:p w14:paraId="6CFA980C" w14:textId="77777777" w:rsidR="006B42D9" w:rsidRDefault="00E94686">
      <w:r>
        <w:lastRenderedPageBreak/>
        <w:t>-</w:t>
      </w:r>
    </w:p>
    <w:p w14:paraId="64A7FDAB" w14:textId="77777777" w:rsidR="006B42D9" w:rsidRDefault="00E94686">
      <w:pPr>
        <w:spacing w:before="180"/>
      </w:pPr>
      <w:r>
        <w:rPr>
          <w:b/>
          <w:sz w:val="32"/>
        </w:rPr>
        <w:t>5. Tiesību akta projekta atbilstība Latvijas Republikas starptautiskajām saistībām</w:t>
      </w:r>
    </w:p>
    <w:p w14:paraId="1BBB65F6" w14:textId="77777777" w:rsidR="006B42D9" w:rsidRDefault="00E94686">
      <w:pPr>
        <w:spacing w:before="90" w:after="90"/>
      </w:pPr>
      <w:r>
        <w:rPr>
          <w:b/>
        </w:rPr>
        <w:t>Vai projekts skar šo jomu?</w:t>
      </w:r>
    </w:p>
    <w:p w14:paraId="7F4343DD" w14:textId="77777777" w:rsidR="006B42D9" w:rsidRDefault="00E94686">
      <w:r>
        <w:t>Jā</w:t>
      </w:r>
    </w:p>
    <w:p w14:paraId="528F69A6" w14:textId="77777777" w:rsidR="006B42D9" w:rsidRDefault="00E94686">
      <w:pPr>
        <w:spacing w:before="270" w:after="180"/>
      </w:pPr>
      <w:r>
        <w:rPr>
          <w:b/>
          <w:sz w:val="30"/>
        </w:rPr>
        <w:t>5.1. Saistības pret Eiropas Savienību</w:t>
      </w:r>
    </w:p>
    <w:p w14:paraId="62D4E297" w14:textId="77777777" w:rsidR="006B42D9" w:rsidRDefault="00E94686">
      <w:pPr>
        <w:spacing w:before="90" w:after="90"/>
      </w:pPr>
      <w:r>
        <w:rPr>
          <w:b/>
        </w:rPr>
        <w:t>Vai ir attiecināms?</w:t>
      </w:r>
    </w:p>
    <w:p w14:paraId="1C059A2B" w14:textId="77777777" w:rsidR="006B42D9" w:rsidRDefault="00E94686">
      <w:r>
        <w:t>Jā</w:t>
      </w:r>
    </w:p>
    <w:p w14:paraId="1DF818E6" w14:textId="77777777" w:rsidR="006B42D9" w:rsidRDefault="00E94686">
      <w:pPr>
        <w:spacing w:before="90" w:after="90"/>
      </w:pPr>
      <w:r>
        <w:rPr>
          <w:b/>
        </w:rPr>
        <w:t>ES tiesību akta CELEX numurs</w:t>
      </w:r>
    </w:p>
    <w:p w14:paraId="51DFE8A6" w14:textId="77777777" w:rsidR="006B42D9" w:rsidRDefault="00E94686">
      <w:r>
        <w:t>32021R1060</w:t>
      </w:r>
    </w:p>
    <w:p w14:paraId="15ED11E2" w14:textId="77777777" w:rsidR="006B42D9" w:rsidRDefault="00E94686">
      <w:pPr>
        <w:spacing w:before="90" w:after="90"/>
      </w:pPr>
      <w:r>
        <w:rPr>
          <w:b/>
        </w:rPr>
        <w:t xml:space="preserve">ES tiesību akta datums, </w:t>
      </w:r>
      <w:proofErr w:type="spellStart"/>
      <w:r>
        <w:rPr>
          <w:b/>
        </w:rPr>
        <w:t>izdevējinstitūcija</w:t>
      </w:r>
      <w:proofErr w:type="spellEnd"/>
      <w:r>
        <w:rPr>
          <w:b/>
        </w:rPr>
        <w:t>, numurs, veids un nosaukums</w:t>
      </w:r>
    </w:p>
    <w:p w14:paraId="42D3BBF4" w14:textId="77777777" w:rsidR="006B42D9" w:rsidRDefault="00E94686">
      <w:r>
        <w:t>Eiropas Parlamenta un Padomes (ES) 2021. gada 24. jūnija Regulas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p w14:paraId="4FDE69F7" w14:textId="77777777" w:rsidR="006B42D9" w:rsidRDefault="00E94686">
      <w:pPr>
        <w:spacing w:before="90" w:after="90"/>
      </w:pPr>
      <w:r>
        <w:rPr>
          <w:b/>
        </w:rPr>
        <w:t>Apraksts</w:t>
      </w:r>
    </w:p>
    <w:p w14:paraId="2293F8E8" w14:textId="77777777" w:rsidR="006B42D9" w:rsidRDefault="00E94686">
      <w:r>
        <w:t>-</w:t>
      </w:r>
    </w:p>
    <w:p w14:paraId="21C09D65" w14:textId="77777777" w:rsidR="006B42D9" w:rsidRDefault="00E94686">
      <w:pPr>
        <w:spacing w:before="90" w:after="90"/>
      </w:pPr>
      <w:r>
        <w:rPr>
          <w:b/>
        </w:rPr>
        <w:t>ES tiesību akta CELEX numurs</w:t>
      </w:r>
    </w:p>
    <w:p w14:paraId="7562FF9C" w14:textId="77777777" w:rsidR="006B42D9" w:rsidRDefault="00E94686">
      <w:r>
        <w:t>32021R1057</w:t>
      </w:r>
    </w:p>
    <w:p w14:paraId="71F4EE4B" w14:textId="77777777" w:rsidR="006B42D9" w:rsidRDefault="00E94686">
      <w:pPr>
        <w:spacing w:before="90" w:after="90"/>
      </w:pPr>
      <w:r>
        <w:rPr>
          <w:b/>
        </w:rPr>
        <w:t xml:space="preserve">ES tiesību akta datums, </w:t>
      </w:r>
      <w:proofErr w:type="spellStart"/>
      <w:r>
        <w:rPr>
          <w:b/>
        </w:rPr>
        <w:t>izdevējinstitūcija</w:t>
      </w:r>
      <w:proofErr w:type="spellEnd"/>
      <w:r>
        <w:rPr>
          <w:b/>
        </w:rPr>
        <w:t>, numurs, veids un nosaukums</w:t>
      </w:r>
    </w:p>
    <w:p w14:paraId="5C669F5E" w14:textId="77777777" w:rsidR="006B42D9" w:rsidRDefault="00E94686">
      <w:r>
        <w:t>Eiropas Parlamenta un Padomes Regula (ES) 2021/1057 (2021. gada 24. jūnijs), ar ko izveido Eiropas Sociālo fondu Plus (ESF+) un atceļ Regulu (ES) Nr. 1296/2013</w:t>
      </w:r>
    </w:p>
    <w:p w14:paraId="67FCB72E" w14:textId="77777777" w:rsidR="006B42D9" w:rsidRDefault="00E94686">
      <w:pPr>
        <w:spacing w:before="90" w:after="90"/>
      </w:pPr>
      <w:r>
        <w:rPr>
          <w:b/>
        </w:rPr>
        <w:t>Apraksts</w:t>
      </w:r>
    </w:p>
    <w:p w14:paraId="650C5E56" w14:textId="77777777" w:rsidR="006B42D9" w:rsidRDefault="00E94686">
      <w:r>
        <w:t>-</w:t>
      </w:r>
    </w:p>
    <w:p w14:paraId="268C0866" w14:textId="77777777" w:rsidR="006B42D9" w:rsidRDefault="00E94686">
      <w:pPr>
        <w:spacing w:before="90" w:after="90"/>
      </w:pPr>
      <w:r>
        <w:rPr>
          <w:b/>
        </w:rPr>
        <w:t>ES tiesību akta CELEX numurs</w:t>
      </w:r>
    </w:p>
    <w:p w14:paraId="652AEDE5" w14:textId="77777777" w:rsidR="006B42D9" w:rsidRDefault="00E94686">
      <w:r>
        <w:t>32018R1046</w:t>
      </w:r>
    </w:p>
    <w:p w14:paraId="3AF556EA" w14:textId="77777777" w:rsidR="006B42D9" w:rsidRDefault="00E94686">
      <w:pPr>
        <w:spacing w:before="90" w:after="90"/>
      </w:pPr>
      <w:r>
        <w:rPr>
          <w:b/>
        </w:rPr>
        <w:t xml:space="preserve">ES tiesību akta datums, </w:t>
      </w:r>
      <w:proofErr w:type="spellStart"/>
      <w:r>
        <w:rPr>
          <w:b/>
        </w:rPr>
        <w:t>izdevējinstitūcija</w:t>
      </w:r>
      <w:proofErr w:type="spellEnd"/>
      <w:r>
        <w:rPr>
          <w:b/>
        </w:rPr>
        <w:t>, numurs, veids un nosaukums</w:t>
      </w:r>
    </w:p>
    <w:p w14:paraId="711417FC" w14:textId="77777777" w:rsidR="006B42D9" w:rsidRDefault="00E94686">
      <w:r>
        <w:t xml:space="preserve">Eiropas Parlamenta un Padomes 2018. gada 18. jūlija Regulas (ES, </w:t>
      </w:r>
      <w:proofErr w:type="spellStart"/>
      <w:r>
        <w:t>Euratom</w:t>
      </w:r>
      <w:proofErr w:type="spellEnd"/>
      <w:r>
        <w:t xml:space="preserve">) Nr. 2018/1046 par finanšu noteikumiem, ko piemēro Savienības vispārējam budžetam, ar kuru groza Regulas (ES) Nr. 1296/2013, (ES) Nr. 1301/2013, (ES) Nr. 1303/2013, </w:t>
      </w:r>
      <w:proofErr w:type="gramStart"/>
      <w:r>
        <w:t>(</w:t>
      </w:r>
      <w:proofErr w:type="gramEnd"/>
      <w:r>
        <w:t xml:space="preserve">ES) Nr. 1304/2013, (ES) Nr. 1309/2013, (ES) Nr. 1316/2013, (ES) Nr. 223/2014, (ES) Nr. 283/2014 un Lēmumu Nr. 541/2014/ES un atceļ Regulu (ES, </w:t>
      </w:r>
      <w:proofErr w:type="spellStart"/>
      <w:r>
        <w:t>Euratom</w:t>
      </w:r>
      <w:proofErr w:type="spellEnd"/>
      <w:r>
        <w:t>) Nr. 966/2012</w:t>
      </w:r>
    </w:p>
    <w:p w14:paraId="2AE91B9B" w14:textId="77777777" w:rsidR="006B42D9" w:rsidRDefault="00E94686">
      <w:pPr>
        <w:spacing w:before="90" w:after="90"/>
      </w:pPr>
      <w:r>
        <w:rPr>
          <w:b/>
        </w:rPr>
        <w:t>Apraksts</w:t>
      </w:r>
    </w:p>
    <w:p w14:paraId="4BD4C2EE" w14:textId="77777777" w:rsidR="006B42D9" w:rsidRDefault="00E94686">
      <w:r>
        <w:lastRenderedPageBreak/>
        <w:t>-</w:t>
      </w:r>
    </w:p>
    <w:p w14:paraId="3C46F216" w14:textId="77777777" w:rsidR="006B42D9" w:rsidRDefault="00E94686">
      <w:pPr>
        <w:spacing w:before="270" w:after="180"/>
      </w:pPr>
      <w:r>
        <w:rPr>
          <w:b/>
          <w:sz w:val="30"/>
        </w:rPr>
        <w:t>5.2. Citas starptautiskās saistības</w:t>
      </w:r>
    </w:p>
    <w:p w14:paraId="08C216BA" w14:textId="77777777" w:rsidR="006B42D9" w:rsidRDefault="00E94686">
      <w:pPr>
        <w:spacing w:before="90" w:after="90"/>
      </w:pPr>
      <w:r>
        <w:rPr>
          <w:b/>
        </w:rPr>
        <w:t>Vai ir attiecināms?</w:t>
      </w:r>
    </w:p>
    <w:p w14:paraId="18EEA428" w14:textId="77777777" w:rsidR="006B42D9" w:rsidRDefault="00E94686">
      <w:r>
        <w:t>Nē</w:t>
      </w:r>
    </w:p>
    <w:p w14:paraId="161C4A0E" w14:textId="77777777" w:rsidR="006B42D9" w:rsidRDefault="00E94686">
      <w:pPr>
        <w:spacing w:before="270" w:after="180"/>
      </w:pPr>
      <w:r>
        <w:rPr>
          <w:b/>
          <w:sz w:val="30"/>
        </w:rPr>
        <w:t>5.3. Cita informācija</w:t>
      </w:r>
    </w:p>
    <w:p w14:paraId="5651C56A" w14:textId="77777777" w:rsidR="006B42D9" w:rsidRDefault="00E94686">
      <w:pPr>
        <w:spacing w:before="90" w:after="90"/>
      </w:pPr>
      <w:r>
        <w:rPr>
          <w:b/>
        </w:rPr>
        <w:t>Apraksts</w:t>
      </w:r>
    </w:p>
    <w:p w14:paraId="1A0F548B" w14:textId="77777777" w:rsidR="006B42D9" w:rsidRDefault="00E94686">
      <w:r>
        <w:t>-</w:t>
      </w:r>
    </w:p>
    <w:p w14:paraId="592B1496" w14:textId="77777777" w:rsidR="006B42D9" w:rsidRDefault="00E94686">
      <w:pPr>
        <w:spacing w:before="270" w:after="180"/>
      </w:pPr>
      <w:r>
        <w:rPr>
          <w:b/>
          <w:sz w:val="30"/>
        </w:rPr>
        <w:t>5.4. 1. tabula. Tiesību akta projekta atbilstība ES tiesību aktiem</w:t>
      </w:r>
    </w:p>
    <w:tbl>
      <w:tblPr>
        <w:tblStyle w:val="a"/>
        <w:tblW w:w="9642" w:type="dxa"/>
        <w:tblInd w:w="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2410"/>
        <w:gridCol w:w="2410"/>
        <w:gridCol w:w="2411"/>
        <w:gridCol w:w="2411"/>
      </w:tblGrid>
      <w:tr w:rsidR="006B42D9" w14:paraId="3AE206C8" w14:textId="77777777" w:rsidTr="00086055">
        <w:tc>
          <w:tcPr>
            <w:tcW w:w="2410" w:type="dxa"/>
            <w:shd w:val="clear" w:color="auto" w:fill="FFFFFF"/>
            <w:noWrap/>
            <w:tcMar>
              <w:top w:w="75" w:type="dxa"/>
              <w:left w:w="75" w:type="dxa"/>
              <w:bottom w:w="75" w:type="dxa"/>
              <w:right w:w="75" w:type="dxa"/>
            </w:tcMar>
            <w:vAlign w:val="center"/>
          </w:tcPr>
          <w:p w14:paraId="64C1B241" w14:textId="77777777" w:rsidR="006B42D9" w:rsidRDefault="00E94686">
            <w:pPr>
              <w:spacing w:line="240" w:lineRule="auto"/>
              <w:jc w:val="left"/>
            </w:pPr>
            <w:r>
              <w:rPr>
                <w:sz w:val="24"/>
              </w:rPr>
              <w:t xml:space="preserve">Attiecīgā ES tiesību akta datums, </w:t>
            </w:r>
            <w:proofErr w:type="spellStart"/>
            <w:r>
              <w:rPr>
                <w:sz w:val="24"/>
              </w:rPr>
              <w:t>izdevējinstitūcija</w:t>
            </w:r>
            <w:proofErr w:type="spellEnd"/>
            <w:r>
              <w:rPr>
                <w:sz w:val="24"/>
              </w:rPr>
              <w:t>, numurs, veids un nosaukums</w:t>
            </w:r>
          </w:p>
        </w:tc>
        <w:tc>
          <w:tcPr>
            <w:tcW w:w="7232" w:type="dxa"/>
            <w:gridSpan w:val="3"/>
            <w:shd w:val="clear" w:color="auto" w:fill="FFFFFF"/>
            <w:noWrap/>
            <w:tcMar>
              <w:top w:w="75" w:type="dxa"/>
              <w:left w:w="75" w:type="dxa"/>
              <w:bottom w:w="75" w:type="dxa"/>
              <w:right w:w="75" w:type="dxa"/>
            </w:tcMar>
            <w:vAlign w:val="center"/>
          </w:tcPr>
          <w:p w14:paraId="75E059CD" w14:textId="77777777" w:rsidR="006B42D9" w:rsidRDefault="00E94686">
            <w:pPr>
              <w:spacing w:line="240" w:lineRule="auto"/>
              <w:jc w:val="left"/>
            </w:pPr>
            <w:r>
              <w:rPr>
                <w:sz w:val="24"/>
              </w:rPr>
              <w:t>Eiropas Parlamenta un Padomes (ES) 2021. gada 24. jūnija Regulas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tc>
      </w:tr>
      <w:tr w:rsidR="006B42D9" w14:paraId="1D247625" w14:textId="77777777" w:rsidTr="00086055">
        <w:tc>
          <w:tcPr>
            <w:tcW w:w="2410" w:type="dxa"/>
            <w:shd w:val="clear" w:color="auto" w:fill="FFFFFF"/>
            <w:noWrap/>
            <w:tcMar>
              <w:top w:w="75" w:type="dxa"/>
              <w:left w:w="75" w:type="dxa"/>
              <w:bottom w:w="75" w:type="dxa"/>
              <w:right w:w="75" w:type="dxa"/>
            </w:tcMar>
            <w:vAlign w:val="center"/>
          </w:tcPr>
          <w:p w14:paraId="0C2B037F" w14:textId="77777777" w:rsidR="006B42D9" w:rsidRDefault="00E94686">
            <w:pPr>
              <w:spacing w:line="240" w:lineRule="auto"/>
              <w:jc w:val="left"/>
            </w:pPr>
            <w:r>
              <w:rPr>
                <w:b/>
                <w:sz w:val="24"/>
              </w:rPr>
              <w:t>ES TA panta numurs</w:t>
            </w:r>
          </w:p>
        </w:tc>
        <w:tc>
          <w:tcPr>
            <w:tcW w:w="2410" w:type="dxa"/>
            <w:shd w:val="clear" w:color="auto" w:fill="FFFFFF"/>
            <w:noWrap/>
            <w:tcMar>
              <w:top w:w="75" w:type="dxa"/>
              <w:left w:w="75" w:type="dxa"/>
              <w:bottom w:w="75" w:type="dxa"/>
              <w:right w:w="75" w:type="dxa"/>
            </w:tcMar>
            <w:vAlign w:val="center"/>
          </w:tcPr>
          <w:p w14:paraId="6931D4A2" w14:textId="77777777" w:rsidR="006B42D9" w:rsidRDefault="00E94686">
            <w:pPr>
              <w:spacing w:line="240" w:lineRule="auto"/>
              <w:jc w:val="left"/>
            </w:pPr>
            <w:r>
              <w:rPr>
                <w:b/>
                <w:sz w:val="24"/>
              </w:rPr>
              <w:t>Projekta vienība, kas pārņem vai ievieš A minēto</w:t>
            </w:r>
          </w:p>
        </w:tc>
        <w:tc>
          <w:tcPr>
            <w:tcW w:w="2411" w:type="dxa"/>
            <w:shd w:val="clear" w:color="auto" w:fill="FFFFFF"/>
            <w:noWrap/>
            <w:tcMar>
              <w:top w:w="75" w:type="dxa"/>
              <w:left w:w="75" w:type="dxa"/>
              <w:bottom w:w="75" w:type="dxa"/>
              <w:right w:w="75" w:type="dxa"/>
            </w:tcMar>
            <w:vAlign w:val="center"/>
          </w:tcPr>
          <w:p w14:paraId="37B73F37" w14:textId="77777777" w:rsidR="006B42D9" w:rsidRDefault="00E94686">
            <w:pPr>
              <w:spacing w:line="240" w:lineRule="auto"/>
              <w:jc w:val="left"/>
            </w:pPr>
            <w:r>
              <w:rPr>
                <w:b/>
                <w:sz w:val="24"/>
              </w:rPr>
              <w:t>Tiek pārņemts pilnībā vai daļēji</w:t>
            </w:r>
          </w:p>
        </w:tc>
        <w:tc>
          <w:tcPr>
            <w:tcW w:w="2411" w:type="dxa"/>
            <w:shd w:val="clear" w:color="auto" w:fill="FFFFFF"/>
            <w:noWrap/>
            <w:tcMar>
              <w:top w:w="75" w:type="dxa"/>
              <w:left w:w="75" w:type="dxa"/>
              <w:bottom w:w="75" w:type="dxa"/>
              <w:right w:w="75" w:type="dxa"/>
            </w:tcMar>
            <w:vAlign w:val="center"/>
          </w:tcPr>
          <w:p w14:paraId="0C00FE32" w14:textId="77777777" w:rsidR="006B42D9" w:rsidRDefault="00E94686">
            <w:pPr>
              <w:spacing w:line="240" w:lineRule="auto"/>
              <w:jc w:val="left"/>
            </w:pPr>
            <w:r>
              <w:rPr>
                <w:b/>
                <w:sz w:val="24"/>
              </w:rPr>
              <w:t>Vai B minētais paredz stingrākas prasības un pamatojums</w:t>
            </w:r>
          </w:p>
        </w:tc>
      </w:tr>
      <w:tr w:rsidR="006B42D9" w14:paraId="6D75EDC7" w14:textId="77777777" w:rsidTr="00086055">
        <w:tc>
          <w:tcPr>
            <w:tcW w:w="2410" w:type="dxa"/>
            <w:shd w:val="clear" w:color="auto" w:fill="FFFFFF"/>
            <w:noWrap/>
            <w:tcMar>
              <w:top w:w="75" w:type="dxa"/>
              <w:left w:w="75" w:type="dxa"/>
              <w:bottom w:w="75" w:type="dxa"/>
              <w:right w:w="75" w:type="dxa"/>
            </w:tcMar>
            <w:vAlign w:val="center"/>
          </w:tcPr>
          <w:p w14:paraId="1AD522D7" w14:textId="77777777" w:rsidR="006B42D9" w:rsidRDefault="00E94686">
            <w:pPr>
              <w:spacing w:line="240" w:lineRule="auto"/>
              <w:jc w:val="left"/>
            </w:pPr>
            <w:r>
              <w:rPr>
                <w:b/>
                <w:sz w:val="24"/>
              </w:rPr>
              <w:t>A</w:t>
            </w:r>
          </w:p>
        </w:tc>
        <w:tc>
          <w:tcPr>
            <w:tcW w:w="2410" w:type="dxa"/>
            <w:shd w:val="clear" w:color="auto" w:fill="FFFFFF"/>
            <w:noWrap/>
            <w:tcMar>
              <w:top w:w="75" w:type="dxa"/>
              <w:left w:w="75" w:type="dxa"/>
              <w:bottom w:w="75" w:type="dxa"/>
              <w:right w:w="75" w:type="dxa"/>
            </w:tcMar>
            <w:vAlign w:val="center"/>
          </w:tcPr>
          <w:p w14:paraId="7DA64AD3" w14:textId="77777777" w:rsidR="006B42D9" w:rsidRDefault="00E94686">
            <w:pPr>
              <w:spacing w:line="240" w:lineRule="auto"/>
              <w:jc w:val="left"/>
            </w:pPr>
            <w:r>
              <w:rPr>
                <w:b/>
                <w:sz w:val="24"/>
              </w:rPr>
              <w:t>B</w:t>
            </w:r>
          </w:p>
        </w:tc>
        <w:tc>
          <w:tcPr>
            <w:tcW w:w="2411" w:type="dxa"/>
            <w:shd w:val="clear" w:color="auto" w:fill="FFFFFF"/>
            <w:noWrap/>
            <w:tcMar>
              <w:top w:w="75" w:type="dxa"/>
              <w:left w:w="75" w:type="dxa"/>
              <w:bottom w:w="75" w:type="dxa"/>
              <w:right w:w="75" w:type="dxa"/>
            </w:tcMar>
            <w:vAlign w:val="center"/>
          </w:tcPr>
          <w:p w14:paraId="6F916DBF" w14:textId="77777777" w:rsidR="006B42D9" w:rsidRDefault="00E94686">
            <w:pPr>
              <w:spacing w:line="240" w:lineRule="auto"/>
              <w:jc w:val="left"/>
            </w:pPr>
            <w:r>
              <w:rPr>
                <w:b/>
                <w:sz w:val="24"/>
              </w:rPr>
              <w:t>C</w:t>
            </w:r>
          </w:p>
        </w:tc>
        <w:tc>
          <w:tcPr>
            <w:tcW w:w="2411" w:type="dxa"/>
            <w:shd w:val="clear" w:color="auto" w:fill="FFFFFF"/>
            <w:noWrap/>
            <w:tcMar>
              <w:top w:w="75" w:type="dxa"/>
              <w:left w:w="75" w:type="dxa"/>
              <w:bottom w:w="75" w:type="dxa"/>
              <w:right w:w="75" w:type="dxa"/>
            </w:tcMar>
            <w:vAlign w:val="center"/>
          </w:tcPr>
          <w:p w14:paraId="392C2436" w14:textId="77777777" w:rsidR="006B42D9" w:rsidRDefault="00E94686">
            <w:pPr>
              <w:spacing w:line="240" w:lineRule="auto"/>
              <w:jc w:val="left"/>
            </w:pPr>
            <w:r>
              <w:rPr>
                <w:b/>
                <w:sz w:val="24"/>
              </w:rPr>
              <w:t>D</w:t>
            </w:r>
          </w:p>
        </w:tc>
      </w:tr>
      <w:tr w:rsidR="006B42D9" w14:paraId="2140CD31" w14:textId="77777777" w:rsidTr="00086055">
        <w:tc>
          <w:tcPr>
            <w:tcW w:w="2410" w:type="dxa"/>
            <w:shd w:val="clear" w:color="auto" w:fill="FFFFFF"/>
            <w:noWrap/>
            <w:tcMar>
              <w:top w:w="75" w:type="dxa"/>
              <w:left w:w="75" w:type="dxa"/>
              <w:bottom w:w="75" w:type="dxa"/>
              <w:right w:w="75" w:type="dxa"/>
            </w:tcMar>
            <w:vAlign w:val="center"/>
          </w:tcPr>
          <w:p w14:paraId="25E68170" w14:textId="2380754C" w:rsidR="006B42D9" w:rsidRPr="00086055" w:rsidRDefault="00E94686" w:rsidP="000728DD">
            <w:pPr>
              <w:spacing w:line="240" w:lineRule="auto"/>
            </w:pPr>
            <w:r w:rsidRPr="00086055">
              <w:rPr>
                <w:sz w:val="24"/>
              </w:rPr>
              <w:t xml:space="preserve">47. un </w:t>
            </w:r>
            <w:proofErr w:type="gramStart"/>
            <w:r w:rsidRPr="00086055">
              <w:rPr>
                <w:sz w:val="24"/>
              </w:rPr>
              <w:t>50.pants</w:t>
            </w:r>
            <w:proofErr w:type="gramEnd"/>
          </w:p>
        </w:tc>
        <w:tc>
          <w:tcPr>
            <w:tcW w:w="2410" w:type="dxa"/>
            <w:shd w:val="clear" w:color="auto" w:fill="FFFFFF"/>
            <w:noWrap/>
            <w:tcMar>
              <w:top w:w="75" w:type="dxa"/>
              <w:left w:w="75" w:type="dxa"/>
              <w:bottom w:w="75" w:type="dxa"/>
              <w:right w:w="75" w:type="dxa"/>
            </w:tcMar>
            <w:vAlign w:val="center"/>
          </w:tcPr>
          <w:p w14:paraId="0903D166" w14:textId="3B18C748" w:rsidR="006B42D9" w:rsidRPr="00086055" w:rsidRDefault="00E94686" w:rsidP="000728DD">
            <w:pPr>
              <w:spacing w:line="240" w:lineRule="auto"/>
            </w:pPr>
            <w:r w:rsidRPr="00086055">
              <w:rPr>
                <w:sz w:val="24"/>
              </w:rPr>
              <w:t>20.</w:t>
            </w:r>
            <w:r w:rsidR="00086055">
              <w:rPr>
                <w:sz w:val="24"/>
              </w:rPr>
              <w:t xml:space="preserve"> un 30. punkts</w:t>
            </w:r>
          </w:p>
        </w:tc>
        <w:tc>
          <w:tcPr>
            <w:tcW w:w="2411" w:type="dxa"/>
            <w:shd w:val="clear" w:color="auto" w:fill="FFFFFF"/>
            <w:noWrap/>
            <w:tcMar>
              <w:top w:w="75" w:type="dxa"/>
              <w:left w:w="75" w:type="dxa"/>
              <w:bottom w:w="75" w:type="dxa"/>
              <w:right w:w="75" w:type="dxa"/>
            </w:tcMar>
            <w:vAlign w:val="center"/>
          </w:tcPr>
          <w:p w14:paraId="7284F84A" w14:textId="77777777" w:rsidR="006B42D9" w:rsidRDefault="00E94686">
            <w:pPr>
              <w:spacing w:line="240" w:lineRule="auto"/>
              <w:jc w:val="left"/>
            </w:pPr>
            <w:r>
              <w:rPr>
                <w:sz w:val="24"/>
              </w:rPr>
              <w:t>Pārņemtas pilnībā</w:t>
            </w:r>
          </w:p>
        </w:tc>
        <w:tc>
          <w:tcPr>
            <w:tcW w:w="2411" w:type="dxa"/>
            <w:shd w:val="clear" w:color="auto" w:fill="FFFFFF"/>
            <w:noWrap/>
            <w:tcMar>
              <w:top w:w="75" w:type="dxa"/>
              <w:left w:w="75" w:type="dxa"/>
              <w:bottom w:w="75" w:type="dxa"/>
              <w:right w:w="75" w:type="dxa"/>
            </w:tcMar>
            <w:vAlign w:val="center"/>
          </w:tcPr>
          <w:p w14:paraId="72361E99" w14:textId="77777777" w:rsidR="006B42D9" w:rsidRDefault="00E94686">
            <w:pPr>
              <w:spacing w:line="240" w:lineRule="auto"/>
            </w:pPr>
            <w:r>
              <w:rPr>
                <w:sz w:val="24"/>
              </w:rPr>
              <w:t>nē</w:t>
            </w:r>
          </w:p>
        </w:tc>
      </w:tr>
      <w:tr w:rsidR="006B42D9" w14:paraId="60FF79B0" w14:textId="77777777" w:rsidTr="00086055">
        <w:tc>
          <w:tcPr>
            <w:tcW w:w="2410" w:type="dxa"/>
            <w:shd w:val="clear" w:color="auto" w:fill="FFFFFF"/>
            <w:noWrap/>
            <w:tcMar>
              <w:top w:w="75" w:type="dxa"/>
              <w:left w:w="75" w:type="dxa"/>
              <w:bottom w:w="75" w:type="dxa"/>
              <w:right w:w="75" w:type="dxa"/>
            </w:tcMar>
            <w:vAlign w:val="center"/>
          </w:tcPr>
          <w:p w14:paraId="4E0CA325" w14:textId="2E097BF4" w:rsidR="006B42D9" w:rsidRPr="00086055" w:rsidRDefault="00086055">
            <w:pPr>
              <w:spacing w:line="240" w:lineRule="auto"/>
            </w:pPr>
            <w:r w:rsidRPr="00086055">
              <w:rPr>
                <w:sz w:val="24"/>
              </w:rPr>
              <w:t>64</w:t>
            </w:r>
            <w:r w:rsidR="00E94686" w:rsidRPr="00086055">
              <w:rPr>
                <w:sz w:val="24"/>
              </w:rPr>
              <w:t>.</w:t>
            </w:r>
            <w:r w:rsidRPr="00086055">
              <w:rPr>
                <w:sz w:val="24"/>
              </w:rPr>
              <w:t> </w:t>
            </w:r>
            <w:r w:rsidR="00E94686" w:rsidRPr="00086055">
              <w:rPr>
                <w:sz w:val="24"/>
              </w:rPr>
              <w:t>panta</w:t>
            </w:r>
            <w:r w:rsidRPr="00086055">
              <w:rPr>
                <w:sz w:val="24"/>
              </w:rPr>
              <w:t xml:space="preserve"> 1. punkta “c” </w:t>
            </w:r>
            <w:r w:rsidR="00E94686" w:rsidRPr="00086055">
              <w:rPr>
                <w:sz w:val="24"/>
              </w:rPr>
              <w:t>apakšpunkts </w:t>
            </w:r>
          </w:p>
        </w:tc>
        <w:tc>
          <w:tcPr>
            <w:tcW w:w="2410" w:type="dxa"/>
            <w:shd w:val="clear" w:color="auto" w:fill="FFFFFF"/>
            <w:noWrap/>
            <w:tcMar>
              <w:top w:w="75" w:type="dxa"/>
              <w:left w:w="75" w:type="dxa"/>
              <w:bottom w:w="75" w:type="dxa"/>
              <w:right w:w="75" w:type="dxa"/>
            </w:tcMar>
            <w:vAlign w:val="center"/>
          </w:tcPr>
          <w:p w14:paraId="55DBB42E" w14:textId="71EA7243" w:rsidR="006B42D9" w:rsidRPr="00086055" w:rsidRDefault="00E94686">
            <w:pPr>
              <w:spacing w:line="240" w:lineRule="auto"/>
            </w:pPr>
            <w:r w:rsidRPr="00086055">
              <w:rPr>
                <w:sz w:val="24"/>
              </w:rPr>
              <w:t>2</w:t>
            </w:r>
            <w:r w:rsidR="00086055" w:rsidRPr="00086055">
              <w:rPr>
                <w:sz w:val="24"/>
              </w:rPr>
              <w:t>8</w:t>
            </w:r>
            <w:r w:rsidRPr="00086055">
              <w:rPr>
                <w:sz w:val="24"/>
              </w:rPr>
              <w:t>.punkts</w:t>
            </w:r>
          </w:p>
        </w:tc>
        <w:tc>
          <w:tcPr>
            <w:tcW w:w="2411" w:type="dxa"/>
            <w:shd w:val="clear" w:color="auto" w:fill="FFFFFF"/>
            <w:noWrap/>
            <w:tcMar>
              <w:top w:w="75" w:type="dxa"/>
              <w:left w:w="75" w:type="dxa"/>
              <w:bottom w:w="75" w:type="dxa"/>
              <w:right w:w="75" w:type="dxa"/>
            </w:tcMar>
            <w:vAlign w:val="center"/>
          </w:tcPr>
          <w:p w14:paraId="689C3E92" w14:textId="77777777" w:rsidR="006B42D9" w:rsidRDefault="00E94686">
            <w:pPr>
              <w:spacing w:line="240" w:lineRule="auto"/>
              <w:jc w:val="left"/>
            </w:pPr>
            <w:r>
              <w:rPr>
                <w:sz w:val="24"/>
              </w:rPr>
              <w:t>Pārņemtas pilnībā</w:t>
            </w:r>
          </w:p>
        </w:tc>
        <w:tc>
          <w:tcPr>
            <w:tcW w:w="2411" w:type="dxa"/>
            <w:shd w:val="clear" w:color="auto" w:fill="FFFFFF"/>
            <w:noWrap/>
            <w:tcMar>
              <w:top w:w="75" w:type="dxa"/>
              <w:left w:w="75" w:type="dxa"/>
              <w:bottom w:w="75" w:type="dxa"/>
              <w:right w:w="75" w:type="dxa"/>
            </w:tcMar>
            <w:vAlign w:val="center"/>
          </w:tcPr>
          <w:p w14:paraId="4D195C87" w14:textId="77777777" w:rsidR="006B42D9" w:rsidRDefault="00E94686">
            <w:pPr>
              <w:spacing w:line="240" w:lineRule="auto"/>
            </w:pPr>
            <w:r>
              <w:rPr>
                <w:sz w:val="24"/>
              </w:rPr>
              <w:t>nē</w:t>
            </w:r>
          </w:p>
        </w:tc>
      </w:tr>
      <w:tr w:rsidR="006B42D9" w14:paraId="21CF274A" w14:textId="77777777" w:rsidTr="00086055">
        <w:tc>
          <w:tcPr>
            <w:tcW w:w="2410" w:type="dxa"/>
            <w:shd w:val="clear" w:color="auto" w:fill="FFFFFF"/>
            <w:noWrap/>
            <w:tcMar>
              <w:top w:w="75" w:type="dxa"/>
              <w:left w:w="75" w:type="dxa"/>
              <w:bottom w:w="75" w:type="dxa"/>
              <w:right w:w="75" w:type="dxa"/>
            </w:tcMar>
            <w:vAlign w:val="center"/>
          </w:tcPr>
          <w:p w14:paraId="43EC3C30" w14:textId="6EBDA189" w:rsidR="006B42D9" w:rsidRPr="00086055" w:rsidRDefault="00086055">
            <w:pPr>
              <w:spacing w:line="240" w:lineRule="auto"/>
            </w:pPr>
            <w:r w:rsidRPr="00086055">
              <w:rPr>
                <w:sz w:val="24"/>
              </w:rPr>
              <w:t>5</w:t>
            </w:r>
            <w:r w:rsidR="00E94686" w:rsidRPr="00086055">
              <w:rPr>
                <w:sz w:val="24"/>
              </w:rPr>
              <w:t>4.</w:t>
            </w:r>
            <w:r w:rsidRPr="00086055">
              <w:rPr>
                <w:sz w:val="24"/>
              </w:rPr>
              <w:t> </w:t>
            </w:r>
            <w:r w:rsidR="00E94686" w:rsidRPr="00086055">
              <w:rPr>
                <w:sz w:val="24"/>
              </w:rPr>
              <w:t xml:space="preserve">panta </w:t>
            </w:r>
            <w:r w:rsidRPr="00086055">
              <w:rPr>
                <w:sz w:val="24"/>
              </w:rPr>
              <w:t>“a” apakšpunkts</w:t>
            </w:r>
            <w:r w:rsidR="00E94686" w:rsidRPr="00086055">
              <w:rPr>
                <w:sz w:val="24"/>
              </w:rPr>
              <w:t> </w:t>
            </w:r>
          </w:p>
        </w:tc>
        <w:tc>
          <w:tcPr>
            <w:tcW w:w="2410" w:type="dxa"/>
            <w:shd w:val="clear" w:color="auto" w:fill="FFFFFF"/>
            <w:noWrap/>
            <w:tcMar>
              <w:top w:w="75" w:type="dxa"/>
              <w:left w:w="75" w:type="dxa"/>
              <w:bottom w:w="75" w:type="dxa"/>
              <w:right w:w="75" w:type="dxa"/>
            </w:tcMar>
            <w:vAlign w:val="center"/>
          </w:tcPr>
          <w:p w14:paraId="58CDE2D0" w14:textId="027B1296" w:rsidR="006B42D9" w:rsidRPr="00086055" w:rsidRDefault="00E94686">
            <w:pPr>
              <w:spacing w:line="240" w:lineRule="auto"/>
            </w:pPr>
            <w:r w:rsidRPr="00086055">
              <w:rPr>
                <w:sz w:val="24"/>
              </w:rPr>
              <w:t>2</w:t>
            </w:r>
            <w:r w:rsidR="00086055" w:rsidRPr="00086055">
              <w:rPr>
                <w:sz w:val="24"/>
              </w:rPr>
              <w:t>9</w:t>
            </w:r>
            <w:r w:rsidRPr="00086055">
              <w:rPr>
                <w:sz w:val="24"/>
              </w:rPr>
              <w:t>.punkts </w:t>
            </w:r>
          </w:p>
        </w:tc>
        <w:tc>
          <w:tcPr>
            <w:tcW w:w="2411" w:type="dxa"/>
            <w:shd w:val="clear" w:color="auto" w:fill="FFFFFF"/>
            <w:noWrap/>
            <w:tcMar>
              <w:top w:w="75" w:type="dxa"/>
              <w:left w:w="75" w:type="dxa"/>
              <w:bottom w:w="75" w:type="dxa"/>
              <w:right w:w="75" w:type="dxa"/>
            </w:tcMar>
            <w:vAlign w:val="center"/>
          </w:tcPr>
          <w:p w14:paraId="6D833C8C" w14:textId="77777777" w:rsidR="006B42D9" w:rsidRDefault="00E94686">
            <w:pPr>
              <w:spacing w:line="240" w:lineRule="auto"/>
              <w:jc w:val="left"/>
            </w:pPr>
            <w:r>
              <w:rPr>
                <w:sz w:val="24"/>
              </w:rPr>
              <w:t>Pārņemtas pilnībā</w:t>
            </w:r>
          </w:p>
        </w:tc>
        <w:tc>
          <w:tcPr>
            <w:tcW w:w="2411" w:type="dxa"/>
            <w:shd w:val="clear" w:color="auto" w:fill="FFFFFF"/>
            <w:noWrap/>
            <w:tcMar>
              <w:top w:w="75" w:type="dxa"/>
              <w:left w:w="75" w:type="dxa"/>
              <w:bottom w:w="75" w:type="dxa"/>
              <w:right w:w="75" w:type="dxa"/>
            </w:tcMar>
            <w:vAlign w:val="center"/>
          </w:tcPr>
          <w:p w14:paraId="5EB6B1C8" w14:textId="77777777" w:rsidR="006B42D9" w:rsidRDefault="00E94686">
            <w:pPr>
              <w:spacing w:line="240" w:lineRule="auto"/>
            </w:pPr>
            <w:r>
              <w:rPr>
                <w:sz w:val="24"/>
              </w:rPr>
              <w:t>nē</w:t>
            </w:r>
          </w:p>
        </w:tc>
      </w:tr>
      <w:tr w:rsidR="006B42D9" w14:paraId="1081A62C" w14:textId="77777777" w:rsidTr="00086055">
        <w:tc>
          <w:tcPr>
            <w:tcW w:w="2410" w:type="dxa"/>
            <w:shd w:val="clear" w:color="auto" w:fill="FFFFFF"/>
            <w:noWrap/>
            <w:tcMar>
              <w:top w:w="75" w:type="dxa"/>
              <w:left w:w="75" w:type="dxa"/>
              <w:bottom w:w="75" w:type="dxa"/>
              <w:right w:w="75" w:type="dxa"/>
            </w:tcMar>
            <w:vAlign w:val="center"/>
          </w:tcPr>
          <w:p w14:paraId="23230F5C" w14:textId="77777777" w:rsidR="006B42D9" w:rsidRDefault="00E94686">
            <w:pPr>
              <w:spacing w:line="240" w:lineRule="auto"/>
              <w:jc w:val="left"/>
            </w:pPr>
            <w:r>
              <w:rPr>
                <w:sz w:val="24"/>
              </w:rPr>
              <w:t>Kā ir izmantota ES tiesību aktā paredzētā rīcības brīvība dalībvalstij pārņemt vai ieviest noteiktas ES tiesību akta normas? Kādēļ?</w:t>
            </w:r>
          </w:p>
        </w:tc>
        <w:tc>
          <w:tcPr>
            <w:tcW w:w="7232" w:type="dxa"/>
            <w:gridSpan w:val="3"/>
            <w:shd w:val="clear" w:color="auto" w:fill="FFFFFF"/>
            <w:noWrap/>
            <w:tcMar>
              <w:top w:w="75" w:type="dxa"/>
              <w:left w:w="75" w:type="dxa"/>
              <w:bottom w:w="75" w:type="dxa"/>
              <w:right w:w="75" w:type="dxa"/>
            </w:tcMar>
            <w:vAlign w:val="center"/>
          </w:tcPr>
          <w:p w14:paraId="13110F39" w14:textId="77777777" w:rsidR="006B42D9" w:rsidRDefault="00E94686">
            <w:pPr>
              <w:spacing w:line="240" w:lineRule="auto"/>
            </w:pPr>
            <w:r>
              <w:rPr>
                <w:sz w:val="24"/>
              </w:rPr>
              <w:t>-</w:t>
            </w:r>
          </w:p>
        </w:tc>
      </w:tr>
      <w:tr w:rsidR="006B42D9" w14:paraId="540D5BB6" w14:textId="77777777" w:rsidTr="00086055">
        <w:tc>
          <w:tcPr>
            <w:tcW w:w="2410" w:type="dxa"/>
            <w:shd w:val="clear" w:color="auto" w:fill="FFFFFF"/>
            <w:noWrap/>
            <w:tcMar>
              <w:top w:w="75" w:type="dxa"/>
              <w:left w:w="75" w:type="dxa"/>
              <w:bottom w:w="75" w:type="dxa"/>
              <w:right w:w="75" w:type="dxa"/>
            </w:tcMar>
            <w:vAlign w:val="center"/>
          </w:tcPr>
          <w:p w14:paraId="58D09CC1" w14:textId="77777777" w:rsidR="006B42D9" w:rsidRDefault="00E94686">
            <w:pPr>
              <w:spacing w:line="240" w:lineRule="auto"/>
              <w:jc w:val="left"/>
            </w:pPr>
            <w:r>
              <w:rPr>
                <w:sz w:val="24"/>
              </w:rPr>
              <w:t xml:space="preserve">Saistības sniegt paziņojumu ES institūcijām un ES dalībvalstīm atbilstoši normatīvajiem aktiem, kas regulē informācijas </w:t>
            </w:r>
            <w:r>
              <w:rPr>
                <w:sz w:val="24"/>
              </w:rPr>
              <w:lastRenderedPageBreak/>
              <w:t>sniegšanu par tehnisko noteikumu, valsts atbalsta piešķiršanas un finanšu noteikumu (attiecībā uz monetāro politiku) projektiem</w:t>
            </w:r>
          </w:p>
        </w:tc>
        <w:tc>
          <w:tcPr>
            <w:tcW w:w="7232" w:type="dxa"/>
            <w:gridSpan w:val="3"/>
            <w:shd w:val="clear" w:color="auto" w:fill="FFFFFF"/>
            <w:noWrap/>
            <w:tcMar>
              <w:top w:w="75" w:type="dxa"/>
              <w:left w:w="75" w:type="dxa"/>
              <w:bottom w:w="75" w:type="dxa"/>
              <w:right w:w="75" w:type="dxa"/>
            </w:tcMar>
            <w:vAlign w:val="center"/>
          </w:tcPr>
          <w:p w14:paraId="561A8FD9" w14:textId="77777777" w:rsidR="006B42D9" w:rsidRDefault="00E94686">
            <w:pPr>
              <w:spacing w:line="240" w:lineRule="auto"/>
            </w:pPr>
            <w:r>
              <w:rPr>
                <w:sz w:val="24"/>
              </w:rPr>
              <w:lastRenderedPageBreak/>
              <w:t>-</w:t>
            </w:r>
          </w:p>
        </w:tc>
      </w:tr>
      <w:tr w:rsidR="006B42D9" w14:paraId="7CF42F20" w14:textId="77777777" w:rsidTr="00086055">
        <w:tc>
          <w:tcPr>
            <w:tcW w:w="2410" w:type="dxa"/>
            <w:shd w:val="clear" w:color="auto" w:fill="FFFFFF"/>
            <w:noWrap/>
            <w:tcMar>
              <w:top w:w="75" w:type="dxa"/>
              <w:left w:w="75" w:type="dxa"/>
              <w:bottom w:w="75" w:type="dxa"/>
              <w:right w:w="75" w:type="dxa"/>
            </w:tcMar>
            <w:vAlign w:val="center"/>
          </w:tcPr>
          <w:p w14:paraId="1F8433D4" w14:textId="77777777" w:rsidR="006B42D9" w:rsidRDefault="00E94686">
            <w:pPr>
              <w:spacing w:line="240" w:lineRule="auto"/>
              <w:jc w:val="left"/>
            </w:pPr>
            <w:r>
              <w:rPr>
                <w:sz w:val="24"/>
              </w:rPr>
              <w:t>Cita informācija</w:t>
            </w:r>
          </w:p>
        </w:tc>
        <w:tc>
          <w:tcPr>
            <w:tcW w:w="7232" w:type="dxa"/>
            <w:gridSpan w:val="3"/>
            <w:shd w:val="clear" w:color="auto" w:fill="FFFFFF"/>
            <w:noWrap/>
            <w:tcMar>
              <w:top w:w="75" w:type="dxa"/>
              <w:left w:w="75" w:type="dxa"/>
              <w:bottom w:w="75" w:type="dxa"/>
              <w:right w:w="75" w:type="dxa"/>
            </w:tcMar>
            <w:vAlign w:val="center"/>
          </w:tcPr>
          <w:p w14:paraId="2DC51645" w14:textId="77777777" w:rsidR="006B42D9" w:rsidRDefault="00E94686">
            <w:pPr>
              <w:spacing w:line="240" w:lineRule="auto"/>
            </w:pPr>
            <w:r>
              <w:rPr>
                <w:sz w:val="24"/>
              </w:rPr>
              <w:t>-</w:t>
            </w:r>
          </w:p>
        </w:tc>
      </w:tr>
      <w:tr w:rsidR="006B42D9" w14:paraId="1EB7369D" w14:textId="77777777" w:rsidTr="00086055">
        <w:tc>
          <w:tcPr>
            <w:tcW w:w="2410" w:type="dxa"/>
            <w:shd w:val="clear" w:color="auto" w:fill="FFFFFF"/>
            <w:noWrap/>
            <w:tcMar>
              <w:top w:w="75" w:type="dxa"/>
              <w:left w:w="75" w:type="dxa"/>
              <w:bottom w:w="75" w:type="dxa"/>
              <w:right w:w="75" w:type="dxa"/>
            </w:tcMar>
            <w:vAlign w:val="center"/>
          </w:tcPr>
          <w:p w14:paraId="3EC0EB91" w14:textId="77777777" w:rsidR="006B42D9" w:rsidRDefault="00E94686">
            <w:pPr>
              <w:spacing w:line="240" w:lineRule="auto"/>
              <w:jc w:val="left"/>
            </w:pPr>
            <w:r>
              <w:rPr>
                <w:sz w:val="24"/>
              </w:rPr>
              <w:t xml:space="preserve">Attiecīgā ES tiesību akta datums, </w:t>
            </w:r>
            <w:proofErr w:type="spellStart"/>
            <w:r>
              <w:rPr>
                <w:sz w:val="24"/>
              </w:rPr>
              <w:t>izdevējinstitūcija</w:t>
            </w:r>
            <w:proofErr w:type="spellEnd"/>
            <w:r>
              <w:rPr>
                <w:sz w:val="24"/>
              </w:rPr>
              <w:t>, numurs, veids un nosaukums</w:t>
            </w:r>
          </w:p>
        </w:tc>
        <w:tc>
          <w:tcPr>
            <w:tcW w:w="7232" w:type="dxa"/>
            <w:gridSpan w:val="3"/>
            <w:shd w:val="clear" w:color="auto" w:fill="FFFFFF"/>
            <w:noWrap/>
            <w:tcMar>
              <w:top w:w="75" w:type="dxa"/>
              <w:left w:w="75" w:type="dxa"/>
              <w:bottom w:w="75" w:type="dxa"/>
              <w:right w:w="75" w:type="dxa"/>
            </w:tcMar>
            <w:vAlign w:val="center"/>
          </w:tcPr>
          <w:p w14:paraId="0A19E6C8" w14:textId="77777777" w:rsidR="006B42D9" w:rsidRDefault="00E94686">
            <w:pPr>
              <w:spacing w:line="240" w:lineRule="auto"/>
              <w:jc w:val="left"/>
            </w:pPr>
            <w:r>
              <w:rPr>
                <w:sz w:val="24"/>
              </w:rPr>
              <w:t>Eiropas Parlamenta un Padomes Regula (ES) 2021/1057 (2021. gada 24. jūnijs), ar ko izveido Eiropas Sociālo fondu Plus (ESF+) un atceļ Regulu (ES) Nr. 1296/2013</w:t>
            </w:r>
          </w:p>
        </w:tc>
      </w:tr>
      <w:tr w:rsidR="006B42D9" w14:paraId="129049D0" w14:textId="77777777" w:rsidTr="00086055">
        <w:tc>
          <w:tcPr>
            <w:tcW w:w="2410" w:type="dxa"/>
            <w:shd w:val="clear" w:color="auto" w:fill="FFFFFF"/>
            <w:noWrap/>
            <w:tcMar>
              <w:top w:w="75" w:type="dxa"/>
              <w:left w:w="75" w:type="dxa"/>
              <w:bottom w:w="75" w:type="dxa"/>
              <w:right w:w="75" w:type="dxa"/>
            </w:tcMar>
            <w:vAlign w:val="center"/>
          </w:tcPr>
          <w:p w14:paraId="75B6E219" w14:textId="77777777" w:rsidR="006B42D9" w:rsidRDefault="00E94686">
            <w:pPr>
              <w:spacing w:line="240" w:lineRule="auto"/>
              <w:jc w:val="left"/>
            </w:pPr>
            <w:r>
              <w:rPr>
                <w:b/>
                <w:sz w:val="24"/>
              </w:rPr>
              <w:t>ES TA panta numurs</w:t>
            </w:r>
          </w:p>
        </w:tc>
        <w:tc>
          <w:tcPr>
            <w:tcW w:w="2410" w:type="dxa"/>
            <w:shd w:val="clear" w:color="auto" w:fill="FFFFFF"/>
            <w:noWrap/>
            <w:tcMar>
              <w:top w:w="75" w:type="dxa"/>
              <w:left w:w="75" w:type="dxa"/>
              <w:bottom w:w="75" w:type="dxa"/>
              <w:right w:w="75" w:type="dxa"/>
            </w:tcMar>
            <w:vAlign w:val="center"/>
          </w:tcPr>
          <w:p w14:paraId="040CDAB6" w14:textId="77777777" w:rsidR="006B42D9" w:rsidRDefault="00E94686">
            <w:pPr>
              <w:spacing w:line="240" w:lineRule="auto"/>
              <w:jc w:val="left"/>
            </w:pPr>
            <w:r>
              <w:rPr>
                <w:b/>
                <w:sz w:val="24"/>
              </w:rPr>
              <w:t>Projekta vienība, kas pārņem vai ievieš A minēto</w:t>
            </w:r>
          </w:p>
        </w:tc>
        <w:tc>
          <w:tcPr>
            <w:tcW w:w="2411" w:type="dxa"/>
            <w:shd w:val="clear" w:color="auto" w:fill="FFFFFF"/>
            <w:noWrap/>
            <w:tcMar>
              <w:top w:w="75" w:type="dxa"/>
              <w:left w:w="75" w:type="dxa"/>
              <w:bottom w:w="75" w:type="dxa"/>
              <w:right w:w="75" w:type="dxa"/>
            </w:tcMar>
            <w:vAlign w:val="center"/>
          </w:tcPr>
          <w:p w14:paraId="7C2F34E1" w14:textId="77777777" w:rsidR="006B42D9" w:rsidRDefault="00E94686">
            <w:pPr>
              <w:spacing w:line="240" w:lineRule="auto"/>
              <w:jc w:val="left"/>
            </w:pPr>
            <w:r>
              <w:rPr>
                <w:b/>
                <w:sz w:val="24"/>
              </w:rPr>
              <w:t>Tiek pārņemts pilnībā vai daļēji</w:t>
            </w:r>
          </w:p>
        </w:tc>
        <w:tc>
          <w:tcPr>
            <w:tcW w:w="2411" w:type="dxa"/>
            <w:shd w:val="clear" w:color="auto" w:fill="FFFFFF"/>
            <w:noWrap/>
            <w:tcMar>
              <w:top w:w="75" w:type="dxa"/>
              <w:left w:w="75" w:type="dxa"/>
              <w:bottom w:w="75" w:type="dxa"/>
              <w:right w:w="75" w:type="dxa"/>
            </w:tcMar>
            <w:vAlign w:val="center"/>
          </w:tcPr>
          <w:p w14:paraId="3A0CA7DB" w14:textId="77777777" w:rsidR="006B42D9" w:rsidRDefault="00E94686">
            <w:pPr>
              <w:spacing w:line="240" w:lineRule="auto"/>
              <w:jc w:val="left"/>
            </w:pPr>
            <w:r>
              <w:rPr>
                <w:b/>
                <w:sz w:val="24"/>
              </w:rPr>
              <w:t>Vai B minētais paredz stingrākas prasības un pamatojums</w:t>
            </w:r>
          </w:p>
        </w:tc>
      </w:tr>
      <w:tr w:rsidR="006B42D9" w14:paraId="28A6F127" w14:textId="77777777" w:rsidTr="00086055">
        <w:tc>
          <w:tcPr>
            <w:tcW w:w="2410" w:type="dxa"/>
            <w:shd w:val="clear" w:color="auto" w:fill="FFFFFF"/>
            <w:noWrap/>
            <w:tcMar>
              <w:top w:w="75" w:type="dxa"/>
              <w:left w:w="75" w:type="dxa"/>
              <w:bottom w:w="75" w:type="dxa"/>
              <w:right w:w="75" w:type="dxa"/>
            </w:tcMar>
            <w:vAlign w:val="center"/>
          </w:tcPr>
          <w:p w14:paraId="446C6E74" w14:textId="77777777" w:rsidR="006B42D9" w:rsidRDefault="00E94686">
            <w:pPr>
              <w:spacing w:line="240" w:lineRule="auto"/>
              <w:jc w:val="left"/>
            </w:pPr>
            <w:r>
              <w:rPr>
                <w:b/>
                <w:sz w:val="24"/>
              </w:rPr>
              <w:t>A</w:t>
            </w:r>
          </w:p>
        </w:tc>
        <w:tc>
          <w:tcPr>
            <w:tcW w:w="2410" w:type="dxa"/>
            <w:shd w:val="clear" w:color="auto" w:fill="FFFFFF"/>
            <w:noWrap/>
            <w:tcMar>
              <w:top w:w="75" w:type="dxa"/>
              <w:left w:w="75" w:type="dxa"/>
              <w:bottom w:w="75" w:type="dxa"/>
              <w:right w:w="75" w:type="dxa"/>
            </w:tcMar>
            <w:vAlign w:val="center"/>
          </w:tcPr>
          <w:p w14:paraId="0ED63355" w14:textId="77777777" w:rsidR="006B42D9" w:rsidRDefault="00E94686">
            <w:pPr>
              <w:spacing w:line="240" w:lineRule="auto"/>
              <w:jc w:val="left"/>
            </w:pPr>
            <w:r>
              <w:rPr>
                <w:b/>
                <w:sz w:val="24"/>
              </w:rPr>
              <w:t>B</w:t>
            </w:r>
          </w:p>
        </w:tc>
        <w:tc>
          <w:tcPr>
            <w:tcW w:w="2411" w:type="dxa"/>
            <w:shd w:val="clear" w:color="auto" w:fill="FFFFFF"/>
            <w:noWrap/>
            <w:tcMar>
              <w:top w:w="75" w:type="dxa"/>
              <w:left w:w="75" w:type="dxa"/>
              <w:bottom w:w="75" w:type="dxa"/>
              <w:right w:w="75" w:type="dxa"/>
            </w:tcMar>
            <w:vAlign w:val="center"/>
          </w:tcPr>
          <w:p w14:paraId="4A7BF987" w14:textId="77777777" w:rsidR="006B42D9" w:rsidRDefault="00E94686">
            <w:pPr>
              <w:spacing w:line="240" w:lineRule="auto"/>
              <w:jc w:val="left"/>
            </w:pPr>
            <w:r>
              <w:rPr>
                <w:b/>
                <w:sz w:val="24"/>
              </w:rPr>
              <w:t>C</w:t>
            </w:r>
          </w:p>
        </w:tc>
        <w:tc>
          <w:tcPr>
            <w:tcW w:w="2411" w:type="dxa"/>
            <w:shd w:val="clear" w:color="auto" w:fill="FFFFFF"/>
            <w:noWrap/>
            <w:tcMar>
              <w:top w:w="75" w:type="dxa"/>
              <w:left w:w="75" w:type="dxa"/>
              <w:bottom w:w="75" w:type="dxa"/>
              <w:right w:w="75" w:type="dxa"/>
            </w:tcMar>
            <w:vAlign w:val="center"/>
          </w:tcPr>
          <w:p w14:paraId="11208BFC" w14:textId="77777777" w:rsidR="006B42D9" w:rsidRDefault="00E94686">
            <w:pPr>
              <w:spacing w:line="240" w:lineRule="auto"/>
              <w:jc w:val="left"/>
            </w:pPr>
            <w:r>
              <w:rPr>
                <w:b/>
                <w:sz w:val="24"/>
              </w:rPr>
              <w:t>D</w:t>
            </w:r>
          </w:p>
        </w:tc>
      </w:tr>
      <w:tr w:rsidR="006B42D9" w14:paraId="78B723A3" w14:textId="77777777" w:rsidTr="00086055">
        <w:tc>
          <w:tcPr>
            <w:tcW w:w="2410" w:type="dxa"/>
            <w:shd w:val="clear" w:color="auto" w:fill="FFFFFF"/>
            <w:noWrap/>
            <w:tcMar>
              <w:top w:w="75" w:type="dxa"/>
              <w:left w:w="75" w:type="dxa"/>
              <w:bottom w:w="75" w:type="dxa"/>
              <w:right w:w="75" w:type="dxa"/>
            </w:tcMar>
            <w:vAlign w:val="center"/>
          </w:tcPr>
          <w:p w14:paraId="277E3E42" w14:textId="2025C6C0" w:rsidR="006B42D9" w:rsidRPr="00A35454" w:rsidRDefault="00A35454">
            <w:pPr>
              <w:spacing w:line="240" w:lineRule="auto"/>
            </w:pPr>
            <w:r w:rsidRPr="00A35454">
              <w:rPr>
                <w:sz w:val="24"/>
              </w:rPr>
              <w:t>I pielikums</w:t>
            </w:r>
          </w:p>
        </w:tc>
        <w:tc>
          <w:tcPr>
            <w:tcW w:w="2410" w:type="dxa"/>
            <w:shd w:val="clear" w:color="auto" w:fill="FFFFFF"/>
            <w:noWrap/>
            <w:tcMar>
              <w:top w:w="75" w:type="dxa"/>
              <w:left w:w="75" w:type="dxa"/>
              <w:bottom w:w="75" w:type="dxa"/>
              <w:right w:w="75" w:type="dxa"/>
            </w:tcMar>
            <w:vAlign w:val="center"/>
          </w:tcPr>
          <w:p w14:paraId="312742B1" w14:textId="2C1B5ADB" w:rsidR="006B42D9" w:rsidRPr="00A35454" w:rsidRDefault="00E94686">
            <w:pPr>
              <w:spacing w:line="240" w:lineRule="auto"/>
            </w:pPr>
            <w:r w:rsidRPr="00A35454">
              <w:rPr>
                <w:sz w:val="24"/>
              </w:rPr>
              <w:t>2</w:t>
            </w:r>
            <w:r w:rsidR="00A35454" w:rsidRPr="00A35454">
              <w:rPr>
                <w:sz w:val="24"/>
              </w:rPr>
              <w:t>1.3</w:t>
            </w:r>
            <w:r w:rsidRPr="00A35454">
              <w:rPr>
                <w:sz w:val="24"/>
              </w:rPr>
              <w:t>.</w:t>
            </w:r>
            <w:r w:rsidR="00A35454" w:rsidRPr="00A35454">
              <w:rPr>
                <w:sz w:val="24"/>
              </w:rPr>
              <w:t> apakš</w:t>
            </w:r>
            <w:r w:rsidRPr="00A35454">
              <w:rPr>
                <w:sz w:val="24"/>
              </w:rPr>
              <w:t>punkts </w:t>
            </w:r>
          </w:p>
        </w:tc>
        <w:tc>
          <w:tcPr>
            <w:tcW w:w="2411" w:type="dxa"/>
            <w:shd w:val="clear" w:color="auto" w:fill="FFFFFF"/>
            <w:noWrap/>
            <w:tcMar>
              <w:top w:w="75" w:type="dxa"/>
              <w:left w:w="75" w:type="dxa"/>
              <w:bottom w:w="75" w:type="dxa"/>
              <w:right w:w="75" w:type="dxa"/>
            </w:tcMar>
            <w:vAlign w:val="center"/>
          </w:tcPr>
          <w:p w14:paraId="4A365C8A" w14:textId="77777777" w:rsidR="006B42D9" w:rsidRDefault="00E94686">
            <w:pPr>
              <w:spacing w:line="240" w:lineRule="auto"/>
              <w:jc w:val="left"/>
            </w:pPr>
            <w:r>
              <w:rPr>
                <w:sz w:val="24"/>
              </w:rPr>
              <w:t>Pārņemtas pilnībā</w:t>
            </w:r>
          </w:p>
        </w:tc>
        <w:tc>
          <w:tcPr>
            <w:tcW w:w="2411" w:type="dxa"/>
            <w:shd w:val="clear" w:color="auto" w:fill="FFFFFF"/>
            <w:noWrap/>
            <w:tcMar>
              <w:top w:w="75" w:type="dxa"/>
              <w:left w:w="75" w:type="dxa"/>
              <w:bottom w:w="75" w:type="dxa"/>
              <w:right w:w="75" w:type="dxa"/>
            </w:tcMar>
            <w:vAlign w:val="center"/>
          </w:tcPr>
          <w:p w14:paraId="2288E49D" w14:textId="77777777" w:rsidR="006B42D9" w:rsidRDefault="00E94686">
            <w:pPr>
              <w:spacing w:line="240" w:lineRule="auto"/>
            </w:pPr>
            <w:r>
              <w:rPr>
                <w:sz w:val="24"/>
              </w:rPr>
              <w:t>nē</w:t>
            </w:r>
          </w:p>
        </w:tc>
      </w:tr>
      <w:tr w:rsidR="006B42D9" w14:paraId="7DDF29C2" w14:textId="77777777" w:rsidTr="00086055">
        <w:tc>
          <w:tcPr>
            <w:tcW w:w="2410" w:type="dxa"/>
            <w:shd w:val="clear" w:color="auto" w:fill="FFFFFF"/>
            <w:noWrap/>
            <w:tcMar>
              <w:top w:w="75" w:type="dxa"/>
              <w:left w:w="75" w:type="dxa"/>
              <w:bottom w:w="75" w:type="dxa"/>
              <w:right w:w="75" w:type="dxa"/>
            </w:tcMar>
            <w:vAlign w:val="center"/>
          </w:tcPr>
          <w:p w14:paraId="346B6E8B" w14:textId="77777777" w:rsidR="006B42D9" w:rsidRDefault="00E94686">
            <w:pPr>
              <w:spacing w:line="240" w:lineRule="auto"/>
              <w:jc w:val="left"/>
            </w:pPr>
            <w:r>
              <w:rPr>
                <w:sz w:val="24"/>
              </w:rPr>
              <w:t>Kā ir izmantota ES tiesību aktā paredzētā rīcības brīvība dalībvalstij pārņemt vai ieviest noteiktas ES tiesību akta normas? Kādēļ?</w:t>
            </w:r>
          </w:p>
        </w:tc>
        <w:tc>
          <w:tcPr>
            <w:tcW w:w="7232" w:type="dxa"/>
            <w:gridSpan w:val="3"/>
            <w:shd w:val="clear" w:color="auto" w:fill="FFFFFF"/>
            <w:noWrap/>
            <w:tcMar>
              <w:top w:w="75" w:type="dxa"/>
              <w:left w:w="75" w:type="dxa"/>
              <w:bottom w:w="75" w:type="dxa"/>
              <w:right w:w="75" w:type="dxa"/>
            </w:tcMar>
            <w:vAlign w:val="center"/>
          </w:tcPr>
          <w:p w14:paraId="187C914E" w14:textId="77777777" w:rsidR="006B42D9" w:rsidRDefault="00E94686">
            <w:pPr>
              <w:spacing w:line="240" w:lineRule="auto"/>
            </w:pPr>
            <w:r>
              <w:rPr>
                <w:sz w:val="24"/>
              </w:rPr>
              <w:t>-</w:t>
            </w:r>
          </w:p>
        </w:tc>
      </w:tr>
      <w:tr w:rsidR="006B42D9" w14:paraId="76624320" w14:textId="77777777" w:rsidTr="00086055">
        <w:tc>
          <w:tcPr>
            <w:tcW w:w="2410" w:type="dxa"/>
            <w:shd w:val="clear" w:color="auto" w:fill="FFFFFF"/>
            <w:noWrap/>
            <w:tcMar>
              <w:top w:w="75" w:type="dxa"/>
              <w:left w:w="75" w:type="dxa"/>
              <w:bottom w:w="75" w:type="dxa"/>
              <w:right w:w="75" w:type="dxa"/>
            </w:tcMar>
            <w:vAlign w:val="center"/>
          </w:tcPr>
          <w:p w14:paraId="7552022A" w14:textId="77777777" w:rsidR="006B42D9" w:rsidRDefault="00E94686">
            <w:pPr>
              <w:spacing w:line="240" w:lineRule="auto"/>
              <w:jc w:val="left"/>
            </w:pPr>
            <w:r>
              <w:rPr>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2" w:type="dxa"/>
            <w:gridSpan w:val="3"/>
            <w:shd w:val="clear" w:color="auto" w:fill="FFFFFF"/>
            <w:noWrap/>
            <w:tcMar>
              <w:top w:w="75" w:type="dxa"/>
              <w:left w:w="75" w:type="dxa"/>
              <w:bottom w:w="75" w:type="dxa"/>
              <w:right w:w="75" w:type="dxa"/>
            </w:tcMar>
            <w:vAlign w:val="center"/>
          </w:tcPr>
          <w:p w14:paraId="662A0DDA" w14:textId="77777777" w:rsidR="006B42D9" w:rsidRDefault="00E94686">
            <w:pPr>
              <w:spacing w:line="240" w:lineRule="auto"/>
            </w:pPr>
            <w:r>
              <w:rPr>
                <w:sz w:val="24"/>
              </w:rPr>
              <w:t>-</w:t>
            </w:r>
          </w:p>
        </w:tc>
      </w:tr>
      <w:tr w:rsidR="006B42D9" w14:paraId="5445874E" w14:textId="77777777" w:rsidTr="00086055">
        <w:tc>
          <w:tcPr>
            <w:tcW w:w="2410" w:type="dxa"/>
            <w:shd w:val="clear" w:color="auto" w:fill="FFFFFF"/>
            <w:noWrap/>
            <w:tcMar>
              <w:top w:w="75" w:type="dxa"/>
              <w:left w:w="75" w:type="dxa"/>
              <w:bottom w:w="75" w:type="dxa"/>
              <w:right w:w="75" w:type="dxa"/>
            </w:tcMar>
            <w:vAlign w:val="center"/>
          </w:tcPr>
          <w:p w14:paraId="32B62826" w14:textId="77777777" w:rsidR="006B42D9" w:rsidRDefault="00E94686">
            <w:pPr>
              <w:spacing w:line="240" w:lineRule="auto"/>
              <w:jc w:val="left"/>
            </w:pPr>
            <w:r>
              <w:rPr>
                <w:sz w:val="24"/>
              </w:rPr>
              <w:t>Cita informācija</w:t>
            </w:r>
          </w:p>
        </w:tc>
        <w:tc>
          <w:tcPr>
            <w:tcW w:w="7232" w:type="dxa"/>
            <w:gridSpan w:val="3"/>
            <w:shd w:val="clear" w:color="auto" w:fill="FFFFFF"/>
            <w:noWrap/>
            <w:tcMar>
              <w:top w:w="75" w:type="dxa"/>
              <w:left w:w="75" w:type="dxa"/>
              <w:bottom w:w="75" w:type="dxa"/>
              <w:right w:w="75" w:type="dxa"/>
            </w:tcMar>
            <w:vAlign w:val="center"/>
          </w:tcPr>
          <w:p w14:paraId="112F07A9" w14:textId="77777777" w:rsidR="006B42D9" w:rsidRDefault="00E94686">
            <w:pPr>
              <w:spacing w:line="240" w:lineRule="auto"/>
            </w:pPr>
            <w:r>
              <w:rPr>
                <w:sz w:val="24"/>
              </w:rPr>
              <w:t>-</w:t>
            </w:r>
          </w:p>
        </w:tc>
      </w:tr>
      <w:tr w:rsidR="006B42D9" w14:paraId="3344205E" w14:textId="77777777" w:rsidTr="00086055">
        <w:tc>
          <w:tcPr>
            <w:tcW w:w="2410" w:type="dxa"/>
            <w:shd w:val="clear" w:color="auto" w:fill="FFFFFF"/>
            <w:noWrap/>
            <w:tcMar>
              <w:top w:w="75" w:type="dxa"/>
              <w:left w:w="75" w:type="dxa"/>
              <w:bottom w:w="75" w:type="dxa"/>
              <w:right w:w="75" w:type="dxa"/>
            </w:tcMar>
            <w:vAlign w:val="center"/>
          </w:tcPr>
          <w:p w14:paraId="0A649BEC" w14:textId="77777777" w:rsidR="006B42D9" w:rsidRDefault="00E94686">
            <w:pPr>
              <w:spacing w:line="240" w:lineRule="auto"/>
              <w:jc w:val="left"/>
            </w:pPr>
            <w:r>
              <w:rPr>
                <w:sz w:val="24"/>
              </w:rPr>
              <w:t xml:space="preserve">Attiecīgā ES tiesību akta datums, </w:t>
            </w:r>
            <w:proofErr w:type="spellStart"/>
            <w:r>
              <w:rPr>
                <w:sz w:val="24"/>
              </w:rPr>
              <w:t>izdevējinstitūcija</w:t>
            </w:r>
            <w:proofErr w:type="spellEnd"/>
            <w:r>
              <w:rPr>
                <w:sz w:val="24"/>
              </w:rPr>
              <w:t>, numurs, veids un nosaukums</w:t>
            </w:r>
          </w:p>
        </w:tc>
        <w:tc>
          <w:tcPr>
            <w:tcW w:w="7232" w:type="dxa"/>
            <w:gridSpan w:val="3"/>
            <w:shd w:val="clear" w:color="auto" w:fill="FFFFFF"/>
            <w:noWrap/>
            <w:tcMar>
              <w:top w:w="75" w:type="dxa"/>
              <w:left w:w="75" w:type="dxa"/>
              <w:bottom w:w="75" w:type="dxa"/>
              <w:right w:w="75" w:type="dxa"/>
            </w:tcMar>
            <w:vAlign w:val="center"/>
          </w:tcPr>
          <w:p w14:paraId="50BE6561" w14:textId="77777777" w:rsidR="006B42D9" w:rsidRDefault="00E94686">
            <w:pPr>
              <w:spacing w:line="240" w:lineRule="auto"/>
              <w:jc w:val="left"/>
            </w:pPr>
            <w:r>
              <w:rPr>
                <w:sz w:val="24"/>
              </w:rPr>
              <w:t xml:space="preserve">Eiropas Parlamenta un Padomes 2018. gada 18. jūlija Regulas (ES, </w:t>
            </w:r>
            <w:proofErr w:type="spellStart"/>
            <w:r>
              <w:rPr>
                <w:sz w:val="24"/>
              </w:rPr>
              <w:t>Euratom</w:t>
            </w:r>
            <w:proofErr w:type="spellEnd"/>
            <w:r>
              <w:rPr>
                <w:sz w:val="24"/>
              </w:rPr>
              <w:t xml:space="preserve">) Nr. 2018/1046 par finanšu noteikumiem, ko piemēro Savienības vispārējam budžetam, ar kuru groza Regulas (ES) Nr. 1296/2013, (ES) Nr. 1301/2013, (ES) Nr. 1303/2013, </w:t>
            </w:r>
            <w:proofErr w:type="gramStart"/>
            <w:r>
              <w:rPr>
                <w:sz w:val="24"/>
              </w:rPr>
              <w:t>(</w:t>
            </w:r>
            <w:proofErr w:type="gramEnd"/>
            <w:r>
              <w:rPr>
                <w:sz w:val="24"/>
              </w:rPr>
              <w:t xml:space="preserve">ES) Nr. 1304/2013, (ES) Nr. 1309/2013, (ES) Nr. 1316/2013, (ES) Nr. 223/2014, </w:t>
            </w:r>
            <w:r>
              <w:rPr>
                <w:sz w:val="24"/>
              </w:rPr>
              <w:lastRenderedPageBreak/>
              <w:t xml:space="preserve">(ES) Nr. 283/2014 un Lēmumu Nr. 541/2014/ES un atceļ Regulu (ES, </w:t>
            </w:r>
            <w:proofErr w:type="spellStart"/>
            <w:r>
              <w:rPr>
                <w:sz w:val="24"/>
              </w:rPr>
              <w:t>Euratom</w:t>
            </w:r>
            <w:proofErr w:type="spellEnd"/>
            <w:r>
              <w:rPr>
                <w:sz w:val="24"/>
              </w:rPr>
              <w:t>) Nr. 966/2012</w:t>
            </w:r>
          </w:p>
        </w:tc>
      </w:tr>
      <w:tr w:rsidR="006B42D9" w14:paraId="6D3C182D" w14:textId="77777777" w:rsidTr="00086055">
        <w:tc>
          <w:tcPr>
            <w:tcW w:w="2410" w:type="dxa"/>
            <w:shd w:val="clear" w:color="auto" w:fill="FFFFFF"/>
            <w:noWrap/>
            <w:tcMar>
              <w:top w:w="75" w:type="dxa"/>
              <w:left w:w="75" w:type="dxa"/>
              <w:bottom w:w="75" w:type="dxa"/>
              <w:right w:w="75" w:type="dxa"/>
            </w:tcMar>
            <w:vAlign w:val="center"/>
          </w:tcPr>
          <w:p w14:paraId="579A7FBA" w14:textId="77777777" w:rsidR="006B42D9" w:rsidRDefault="00E94686">
            <w:pPr>
              <w:spacing w:line="240" w:lineRule="auto"/>
              <w:jc w:val="left"/>
            </w:pPr>
            <w:r>
              <w:rPr>
                <w:b/>
                <w:sz w:val="24"/>
              </w:rPr>
              <w:lastRenderedPageBreak/>
              <w:t>ES TA panta numurs</w:t>
            </w:r>
          </w:p>
        </w:tc>
        <w:tc>
          <w:tcPr>
            <w:tcW w:w="2410" w:type="dxa"/>
            <w:shd w:val="clear" w:color="auto" w:fill="FFFFFF"/>
            <w:noWrap/>
            <w:tcMar>
              <w:top w:w="75" w:type="dxa"/>
              <w:left w:w="75" w:type="dxa"/>
              <w:bottom w:w="75" w:type="dxa"/>
              <w:right w:w="75" w:type="dxa"/>
            </w:tcMar>
            <w:vAlign w:val="center"/>
          </w:tcPr>
          <w:p w14:paraId="5D22EAA5" w14:textId="77777777" w:rsidR="006B42D9" w:rsidRDefault="00E94686">
            <w:pPr>
              <w:spacing w:line="240" w:lineRule="auto"/>
              <w:jc w:val="left"/>
            </w:pPr>
            <w:r>
              <w:rPr>
                <w:b/>
                <w:sz w:val="24"/>
              </w:rPr>
              <w:t>Projekta vienība, kas pārņem vai ievieš A minēto</w:t>
            </w:r>
          </w:p>
        </w:tc>
        <w:tc>
          <w:tcPr>
            <w:tcW w:w="2411" w:type="dxa"/>
            <w:shd w:val="clear" w:color="auto" w:fill="FFFFFF"/>
            <w:noWrap/>
            <w:tcMar>
              <w:top w:w="75" w:type="dxa"/>
              <w:left w:w="75" w:type="dxa"/>
              <w:bottom w:w="75" w:type="dxa"/>
              <w:right w:w="75" w:type="dxa"/>
            </w:tcMar>
            <w:vAlign w:val="center"/>
          </w:tcPr>
          <w:p w14:paraId="1F90A13F" w14:textId="77777777" w:rsidR="006B42D9" w:rsidRDefault="00E94686">
            <w:pPr>
              <w:spacing w:line="240" w:lineRule="auto"/>
              <w:jc w:val="left"/>
            </w:pPr>
            <w:r>
              <w:rPr>
                <w:b/>
                <w:sz w:val="24"/>
              </w:rPr>
              <w:t>Tiek pārņemts pilnībā vai daļēji</w:t>
            </w:r>
          </w:p>
        </w:tc>
        <w:tc>
          <w:tcPr>
            <w:tcW w:w="2411" w:type="dxa"/>
            <w:shd w:val="clear" w:color="auto" w:fill="FFFFFF"/>
            <w:noWrap/>
            <w:tcMar>
              <w:top w:w="75" w:type="dxa"/>
              <w:left w:w="75" w:type="dxa"/>
              <w:bottom w:w="75" w:type="dxa"/>
              <w:right w:w="75" w:type="dxa"/>
            </w:tcMar>
            <w:vAlign w:val="center"/>
          </w:tcPr>
          <w:p w14:paraId="0A86B78B" w14:textId="77777777" w:rsidR="006B42D9" w:rsidRDefault="00E94686">
            <w:pPr>
              <w:spacing w:line="240" w:lineRule="auto"/>
              <w:jc w:val="left"/>
            </w:pPr>
            <w:r>
              <w:rPr>
                <w:b/>
                <w:sz w:val="24"/>
              </w:rPr>
              <w:t>Vai B minētais paredz stingrākas prasības un pamatojums</w:t>
            </w:r>
          </w:p>
        </w:tc>
      </w:tr>
      <w:tr w:rsidR="006B42D9" w14:paraId="5AAFD840" w14:textId="77777777" w:rsidTr="00086055">
        <w:tc>
          <w:tcPr>
            <w:tcW w:w="2410" w:type="dxa"/>
            <w:shd w:val="clear" w:color="auto" w:fill="FFFFFF"/>
            <w:noWrap/>
            <w:tcMar>
              <w:top w:w="75" w:type="dxa"/>
              <w:left w:w="75" w:type="dxa"/>
              <w:bottom w:w="75" w:type="dxa"/>
              <w:right w:w="75" w:type="dxa"/>
            </w:tcMar>
            <w:vAlign w:val="center"/>
          </w:tcPr>
          <w:p w14:paraId="35785788" w14:textId="77777777" w:rsidR="006B42D9" w:rsidRDefault="00E94686">
            <w:pPr>
              <w:spacing w:line="240" w:lineRule="auto"/>
              <w:jc w:val="left"/>
            </w:pPr>
            <w:r>
              <w:rPr>
                <w:b/>
                <w:sz w:val="24"/>
              </w:rPr>
              <w:t>A</w:t>
            </w:r>
          </w:p>
        </w:tc>
        <w:tc>
          <w:tcPr>
            <w:tcW w:w="2410" w:type="dxa"/>
            <w:shd w:val="clear" w:color="auto" w:fill="FFFFFF"/>
            <w:noWrap/>
            <w:tcMar>
              <w:top w:w="75" w:type="dxa"/>
              <w:left w:w="75" w:type="dxa"/>
              <w:bottom w:w="75" w:type="dxa"/>
              <w:right w:w="75" w:type="dxa"/>
            </w:tcMar>
            <w:vAlign w:val="center"/>
          </w:tcPr>
          <w:p w14:paraId="64C2C682" w14:textId="77777777" w:rsidR="006B42D9" w:rsidRDefault="00E94686">
            <w:pPr>
              <w:spacing w:line="240" w:lineRule="auto"/>
              <w:jc w:val="left"/>
            </w:pPr>
            <w:r>
              <w:rPr>
                <w:b/>
                <w:sz w:val="24"/>
              </w:rPr>
              <w:t>B</w:t>
            </w:r>
          </w:p>
        </w:tc>
        <w:tc>
          <w:tcPr>
            <w:tcW w:w="2411" w:type="dxa"/>
            <w:shd w:val="clear" w:color="auto" w:fill="FFFFFF"/>
            <w:noWrap/>
            <w:tcMar>
              <w:top w:w="75" w:type="dxa"/>
              <w:left w:w="75" w:type="dxa"/>
              <w:bottom w:w="75" w:type="dxa"/>
              <w:right w:w="75" w:type="dxa"/>
            </w:tcMar>
            <w:vAlign w:val="center"/>
          </w:tcPr>
          <w:p w14:paraId="1F465BB8" w14:textId="77777777" w:rsidR="006B42D9" w:rsidRDefault="00E94686">
            <w:pPr>
              <w:spacing w:line="240" w:lineRule="auto"/>
              <w:jc w:val="left"/>
            </w:pPr>
            <w:r>
              <w:rPr>
                <w:b/>
                <w:sz w:val="24"/>
              </w:rPr>
              <w:t>C</w:t>
            </w:r>
          </w:p>
        </w:tc>
        <w:tc>
          <w:tcPr>
            <w:tcW w:w="2411" w:type="dxa"/>
            <w:shd w:val="clear" w:color="auto" w:fill="FFFFFF"/>
            <w:noWrap/>
            <w:tcMar>
              <w:top w:w="75" w:type="dxa"/>
              <w:left w:w="75" w:type="dxa"/>
              <w:bottom w:w="75" w:type="dxa"/>
              <w:right w:w="75" w:type="dxa"/>
            </w:tcMar>
            <w:vAlign w:val="center"/>
          </w:tcPr>
          <w:p w14:paraId="69396A4C" w14:textId="77777777" w:rsidR="006B42D9" w:rsidRDefault="00E94686">
            <w:pPr>
              <w:spacing w:line="240" w:lineRule="auto"/>
              <w:jc w:val="left"/>
            </w:pPr>
            <w:r>
              <w:rPr>
                <w:b/>
                <w:sz w:val="24"/>
              </w:rPr>
              <w:t>D</w:t>
            </w:r>
          </w:p>
        </w:tc>
      </w:tr>
      <w:tr w:rsidR="006B42D9" w14:paraId="520E085F" w14:textId="77777777" w:rsidTr="00086055">
        <w:tc>
          <w:tcPr>
            <w:tcW w:w="2410" w:type="dxa"/>
            <w:shd w:val="clear" w:color="auto" w:fill="FFFFFF"/>
            <w:noWrap/>
            <w:tcMar>
              <w:top w:w="75" w:type="dxa"/>
              <w:left w:w="75" w:type="dxa"/>
              <w:bottom w:w="75" w:type="dxa"/>
              <w:right w:w="75" w:type="dxa"/>
            </w:tcMar>
            <w:vAlign w:val="center"/>
          </w:tcPr>
          <w:p w14:paraId="2707E5A5" w14:textId="77777777" w:rsidR="006B42D9" w:rsidRPr="00A35454" w:rsidRDefault="00E94686">
            <w:pPr>
              <w:spacing w:line="240" w:lineRule="auto"/>
            </w:pPr>
            <w:proofErr w:type="gramStart"/>
            <w:r w:rsidRPr="00A35454">
              <w:rPr>
                <w:sz w:val="24"/>
              </w:rPr>
              <w:t>61.pants</w:t>
            </w:r>
            <w:proofErr w:type="gramEnd"/>
          </w:p>
        </w:tc>
        <w:tc>
          <w:tcPr>
            <w:tcW w:w="2410" w:type="dxa"/>
            <w:shd w:val="clear" w:color="auto" w:fill="FFFFFF"/>
            <w:noWrap/>
            <w:tcMar>
              <w:top w:w="75" w:type="dxa"/>
              <w:left w:w="75" w:type="dxa"/>
              <w:bottom w:w="75" w:type="dxa"/>
              <w:right w:w="75" w:type="dxa"/>
            </w:tcMar>
            <w:vAlign w:val="center"/>
          </w:tcPr>
          <w:p w14:paraId="7501AEF9" w14:textId="77777777" w:rsidR="006B42D9" w:rsidRPr="00A35454" w:rsidRDefault="00E94686">
            <w:pPr>
              <w:spacing w:line="240" w:lineRule="auto"/>
            </w:pPr>
            <w:r w:rsidRPr="00A35454">
              <w:rPr>
                <w:sz w:val="24"/>
              </w:rPr>
              <w:t>22.punkts</w:t>
            </w:r>
          </w:p>
        </w:tc>
        <w:tc>
          <w:tcPr>
            <w:tcW w:w="2411" w:type="dxa"/>
            <w:shd w:val="clear" w:color="auto" w:fill="FFFFFF"/>
            <w:noWrap/>
            <w:tcMar>
              <w:top w:w="75" w:type="dxa"/>
              <w:left w:w="75" w:type="dxa"/>
              <w:bottom w:w="75" w:type="dxa"/>
              <w:right w:w="75" w:type="dxa"/>
            </w:tcMar>
            <w:vAlign w:val="center"/>
          </w:tcPr>
          <w:p w14:paraId="5CA283F6" w14:textId="77777777" w:rsidR="006B42D9" w:rsidRPr="00A35454" w:rsidRDefault="00E94686">
            <w:pPr>
              <w:spacing w:line="240" w:lineRule="auto"/>
              <w:jc w:val="left"/>
            </w:pPr>
            <w:r w:rsidRPr="00A35454">
              <w:rPr>
                <w:sz w:val="24"/>
              </w:rPr>
              <w:t>Pārņemtas pilnībā</w:t>
            </w:r>
          </w:p>
        </w:tc>
        <w:tc>
          <w:tcPr>
            <w:tcW w:w="2411" w:type="dxa"/>
            <w:shd w:val="clear" w:color="auto" w:fill="FFFFFF"/>
            <w:noWrap/>
            <w:tcMar>
              <w:top w:w="75" w:type="dxa"/>
              <w:left w:w="75" w:type="dxa"/>
              <w:bottom w:w="75" w:type="dxa"/>
              <w:right w:w="75" w:type="dxa"/>
            </w:tcMar>
            <w:vAlign w:val="center"/>
          </w:tcPr>
          <w:p w14:paraId="61AD57CC" w14:textId="77777777" w:rsidR="006B42D9" w:rsidRDefault="00E94686">
            <w:pPr>
              <w:spacing w:line="240" w:lineRule="auto"/>
            </w:pPr>
            <w:r w:rsidRPr="00A35454">
              <w:rPr>
                <w:sz w:val="24"/>
              </w:rPr>
              <w:t>nē</w:t>
            </w:r>
          </w:p>
        </w:tc>
      </w:tr>
      <w:tr w:rsidR="006B42D9" w14:paraId="42D42A33" w14:textId="77777777" w:rsidTr="00086055">
        <w:tc>
          <w:tcPr>
            <w:tcW w:w="2410" w:type="dxa"/>
            <w:shd w:val="clear" w:color="auto" w:fill="FFFFFF"/>
            <w:noWrap/>
            <w:tcMar>
              <w:top w:w="75" w:type="dxa"/>
              <w:left w:w="75" w:type="dxa"/>
              <w:bottom w:w="75" w:type="dxa"/>
              <w:right w:w="75" w:type="dxa"/>
            </w:tcMar>
            <w:vAlign w:val="center"/>
          </w:tcPr>
          <w:p w14:paraId="7F64077D" w14:textId="77777777" w:rsidR="006B42D9" w:rsidRDefault="00E94686">
            <w:pPr>
              <w:spacing w:line="240" w:lineRule="auto"/>
              <w:jc w:val="left"/>
            </w:pPr>
            <w:r>
              <w:rPr>
                <w:sz w:val="24"/>
              </w:rPr>
              <w:t>Kā ir izmantota ES tiesību aktā paredzētā rīcības brīvība dalībvalstij pārņemt vai ieviest noteiktas ES tiesību akta normas? Kādēļ?</w:t>
            </w:r>
          </w:p>
        </w:tc>
        <w:tc>
          <w:tcPr>
            <w:tcW w:w="7232" w:type="dxa"/>
            <w:gridSpan w:val="3"/>
            <w:shd w:val="clear" w:color="auto" w:fill="FFFFFF"/>
            <w:noWrap/>
            <w:tcMar>
              <w:top w:w="75" w:type="dxa"/>
              <w:left w:w="75" w:type="dxa"/>
              <w:bottom w:w="75" w:type="dxa"/>
              <w:right w:w="75" w:type="dxa"/>
            </w:tcMar>
            <w:vAlign w:val="center"/>
          </w:tcPr>
          <w:p w14:paraId="3B804497" w14:textId="77777777" w:rsidR="006B42D9" w:rsidRDefault="00E94686">
            <w:pPr>
              <w:spacing w:line="240" w:lineRule="auto"/>
            </w:pPr>
            <w:r>
              <w:rPr>
                <w:sz w:val="24"/>
              </w:rPr>
              <w:t>-</w:t>
            </w:r>
          </w:p>
        </w:tc>
      </w:tr>
      <w:tr w:rsidR="006B42D9" w14:paraId="77A068E8" w14:textId="77777777" w:rsidTr="00086055">
        <w:tc>
          <w:tcPr>
            <w:tcW w:w="2410" w:type="dxa"/>
            <w:shd w:val="clear" w:color="auto" w:fill="FFFFFF"/>
            <w:noWrap/>
            <w:tcMar>
              <w:top w:w="75" w:type="dxa"/>
              <w:left w:w="75" w:type="dxa"/>
              <w:bottom w:w="75" w:type="dxa"/>
              <w:right w:w="75" w:type="dxa"/>
            </w:tcMar>
            <w:vAlign w:val="center"/>
          </w:tcPr>
          <w:p w14:paraId="6063BC18" w14:textId="77777777" w:rsidR="006B42D9" w:rsidRDefault="00E94686">
            <w:pPr>
              <w:spacing w:line="240" w:lineRule="auto"/>
              <w:jc w:val="left"/>
            </w:pPr>
            <w:r>
              <w:rPr>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2" w:type="dxa"/>
            <w:gridSpan w:val="3"/>
            <w:shd w:val="clear" w:color="auto" w:fill="FFFFFF"/>
            <w:noWrap/>
            <w:tcMar>
              <w:top w:w="75" w:type="dxa"/>
              <w:left w:w="75" w:type="dxa"/>
              <w:bottom w:w="75" w:type="dxa"/>
              <w:right w:w="75" w:type="dxa"/>
            </w:tcMar>
            <w:vAlign w:val="center"/>
          </w:tcPr>
          <w:p w14:paraId="6D33CF30" w14:textId="77777777" w:rsidR="006B42D9" w:rsidRDefault="00E94686">
            <w:pPr>
              <w:spacing w:line="240" w:lineRule="auto"/>
            </w:pPr>
            <w:r>
              <w:rPr>
                <w:sz w:val="24"/>
              </w:rPr>
              <w:t>-</w:t>
            </w:r>
          </w:p>
        </w:tc>
      </w:tr>
      <w:tr w:rsidR="006B42D9" w14:paraId="5A1C0E3B" w14:textId="77777777" w:rsidTr="00086055">
        <w:tc>
          <w:tcPr>
            <w:tcW w:w="2410" w:type="dxa"/>
            <w:shd w:val="clear" w:color="auto" w:fill="FFFFFF"/>
            <w:noWrap/>
            <w:tcMar>
              <w:top w:w="75" w:type="dxa"/>
              <w:left w:w="75" w:type="dxa"/>
              <w:bottom w:w="75" w:type="dxa"/>
              <w:right w:w="75" w:type="dxa"/>
            </w:tcMar>
            <w:vAlign w:val="center"/>
          </w:tcPr>
          <w:p w14:paraId="5FE591E0" w14:textId="77777777" w:rsidR="006B42D9" w:rsidRDefault="00E94686">
            <w:pPr>
              <w:spacing w:line="240" w:lineRule="auto"/>
              <w:jc w:val="left"/>
            </w:pPr>
            <w:r>
              <w:rPr>
                <w:sz w:val="24"/>
              </w:rPr>
              <w:t>Cita informācija</w:t>
            </w:r>
          </w:p>
        </w:tc>
        <w:tc>
          <w:tcPr>
            <w:tcW w:w="7232" w:type="dxa"/>
            <w:gridSpan w:val="3"/>
            <w:shd w:val="clear" w:color="auto" w:fill="FFFFFF"/>
            <w:noWrap/>
            <w:tcMar>
              <w:top w:w="75" w:type="dxa"/>
              <w:left w:w="75" w:type="dxa"/>
              <w:bottom w:w="75" w:type="dxa"/>
              <w:right w:w="75" w:type="dxa"/>
            </w:tcMar>
            <w:vAlign w:val="center"/>
          </w:tcPr>
          <w:p w14:paraId="051A397C" w14:textId="77777777" w:rsidR="006B42D9" w:rsidRDefault="00E94686">
            <w:pPr>
              <w:spacing w:line="240" w:lineRule="auto"/>
            </w:pPr>
            <w:r>
              <w:rPr>
                <w:sz w:val="24"/>
              </w:rPr>
              <w:t>-</w:t>
            </w:r>
          </w:p>
        </w:tc>
      </w:tr>
    </w:tbl>
    <w:p w14:paraId="015AD284" w14:textId="77777777" w:rsidR="006B42D9" w:rsidRDefault="00E94686">
      <w:pPr>
        <w:spacing w:before="180"/>
      </w:pPr>
      <w:r>
        <w:rPr>
          <w:b/>
          <w:sz w:val="32"/>
        </w:rPr>
        <w:t>6. Projekta izstrādē iesaistītās institūcijas un sabiedrības līdzdalības process</w:t>
      </w:r>
    </w:p>
    <w:p w14:paraId="144AC6B5" w14:textId="77777777" w:rsidR="006B42D9" w:rsidRDefault="00E94686">
      <w:pPr>
        <w:spacing w:before="90" w:after="90"/>
      </w:pPr>
      <w:r>
        <w:rPr>
          <w:b/>
        </w:rPr>
        <w:t>Sabiedrības līdzdalība uz šo tiesību akta projektu neattiecas</w:t>
      </w:r>
    </w:p>
    <w:p w14:paraId="13B5BC70" w14:textId="77777777" w:rsidR="006B42D9" w:rsidRDefault="00E94686">
      <w:r>
        <w:t>Nē</w:t>
      </w:r>
    </w:p>
    <w:p w14:paraId="3E0AD9E2" w14:textId="77777777" w:rsidR="006B42D9" w:rsidRDefault="00E94686">
      <w:pPr>
        <w:spacing w:before="270" w:after="180"/>
      </w:pPr>
      <w:r>
        <w:rPr>
          <w:b/>
          <w:sz w:val="30"/>
        </w:rPr>
        <w:t>6.1. Projekta izstrādē iesaistītās institūcijas</w:t>
      </w:r>
    </w:p>
    <w:p w14:paraId="41559658" w14:textId="77777777" w:rsidR="006B42D9" w:rsidRDefault="00E94686">
      <w:pPr>
        <w:spacing w:before="90" w:after="90"/>
      </w:pPr>
      <w:r>
        <w:rPr>
          <w:b/>
        </w:rPr>
        <w:t>Valsts un pašvaldību institūcijas</w:t>
      </w:r>
    </w:p>
    <w:p w14:paraId="0B758B09" w14:textId="54AF0A0F" w:rsidR="006B42D9" w:rsidRDefault="00E94686">
      <w:r w:rsidRPr="000728DD">
        <w:t>Sabiedrības integrācijas fonds</w:t>
      </w:r>
      <w:r w:rsidR="000728DD" w:rsidRPr="000728DD">
        <w:t>,</w:t>
      </w:r>
      <w:r w:rsidR="000728DD">
        <w:t xml:space="preserve"> </w:t>
      </w:r>
    </w:p>
    <w:p w14:paraId="37637C50" w14:textId="77777777" w:rsidR="006B42D9" w:rsidRDefault="00E94686">
      <w:pPr>
        <w:spacing w:before="90" w:after="90"/>
        <w:rPr>
          <w:b/>
        </w:rPr>
      </w:pPr>
      <w:r>
        <w:rPr>
          <w:b/>
        </w:rPr>
        <w:t>Nevalstiskās organizācijas</w:t>
      </w:r>
    </w:p>
    <w:p w14:paraId="48469C0A" w14:textId="76361FFB" w:rsidR="00951E0D" w:rsidRDefault="00951E0D">
      <w:pPr>
        <w:spacing w:before="90" w:after="90"/>
      </w:pPr>
      <w:r>
        <w:rPr>
          <w:szCs w:val="28"/>
        </w:rPr>
        <w:t>B</w:t>
      </w:r>
      <w:r w:rsidRPr="00A9441D">
        <w:rPr>
          <w:szCs w:val="28"/>
        </w:rPr>
        <w:t>iedrība “Latvijas Pilsoniskā alianse”, biedrība “Zemgales NVO centrs”, biedrība “Dienvidlatgales NVO atbalsta centrs”, biedrība “Kurzemes NVO centrs” un nodibinājums “Valmieras novada fonds”.</w:t>
      </w:r>
    </w:p>
    <w:p w14:paraId="1301135D" w14:textId="77777777" w:rsidR="006B42D9" w:rsidRDefault="00E94686">
      <w:pPr>
        <w:spacing w:before="90" w:after="90"/>
      </w:pPr>
      <w:r>
        <w:rPr>
          <w:b/>
        </w:rPr>
        <w:lastRenderedPageBreak/>
        <w:t>Cits</w:t>
      </w:r>
    </w:p>
    <w:p w14:paraId="2B50A4A3" w14:textId="77777777" w:rsidR="006B42D9" w:rsidRDefault="00E94686">
      <w:r>
        <w:t>Nē</w:t>
      </w:r>
    </w:p>
    <w:p w14:paraId="4FC8D07D" w14:textId="77777777" w:rsidR="006B42D9" w:rsidRDefault="00E94686">
      <w:pPr>
        <w:spacing w:before="270" w:after="180"/>
      </w:pPr>
      <w:r>
        <w:rPr>
          <w:b/>
          <w:sz w:val="30"/>
        </w:rPr>
        <w:t>6.2. Sabiedrības līdzdalības organizēšanas veidi</w:t>
      </w:r>
    </w:p>
    <w:p w14:paraId="65F32BFE" w14:textId="77777777" w:rsidR="006B42D9" w:rsidRDefault="00E94686">
      <w:pPr>
        <w:spacing w:before="90" w:after="90"/>
      </w:pPr>
      <w:r>
        <w:rPr>
          <w:b/>
        </w:rPr>
        <w:t>Veids</w:t>
      </w:r>
    </w:p>
    <w:p w14:paraId="3CEB8E48" w14:textId="77777777" w:rsidR="006B42D9" w:rsidRDefault="00E94686">
      <w:r w:rsidRPr="00951E0D">
        <w:t>Publiskā apspriešana</w:t>
      </w:r>
    </w:p>
    <w:p w14:paraId="33BE4649" w14:textId="77777777" w:rsidR="006B42D9" w:rsidRDefault="00E94686">
      <w:pPr>
        <w:spacing w:before="90" w:after="90"/>
      </w:pPr>
      <w:r>
        <w:rPr>
          <w:b/>
        </w:rPr>
        <w:t>Saite uz sabiedrības līdzdalības rezultātiem</w:t>
      </w:r>
    </w:p>
    <w:p w14:paraId="4C5E2F28" w14:textId="77777777" w:rsidR="006B42D9" w:rsidRDefault="00E94686">
      <w:pPr>
        <w:spacing w:before="270" w:after="180"/>
      </w:pPr>
      <w:r>
        <w:rPr>
          <w:b/>
          <w:sz w:val="30"/>
        </w:rPr>
        <w:t>6.3. Sabiedrības līdzdalības rezultāti</w:t>
      </w:r>
    </w:p>
    <w:p w14:paraId="4E613965" w14:textId="77777777" w:rsidR="006B42D9" w:rsidRDefault="00E94686">
      <w:pPr>
        <w:spacing w:before="270" w:after="180"/>
      </w:pPr>
      <w:r>
        <w:rPr>
          <w:b/>
          <w:sz w:val="30"/>
        </w:rPr>
        <w:t>6.4. Cita informācija</w:t>
      </w:r>
    </w:p>
    <w:p w14:paraId="02E3C6BD" w14:textId="77777777" w:rsidR="006B42D9" w:rsidRDefault="00E94686">
      <w:pPr>
        <w:spacing w:before="90" w:after="90"/>
      </w:pPr>
      <w:r>
        <w:rPr>
          <w:b/>
        </w:rPr>
        <w:t>Cita informācija</w:t>
      </w:r>
    </w:p>
    <w:p w14:paraId="774BFB7A" w14:textId="77777777" w:rsidR="006B42D9" w:rsidRDefault="00E94686">
      <w:r>
        <w:t>-</w:t>
      </w:r>
    </w:p>
    <w:p w14:paraId="38FB67B7" w14:textId="77777777" w:rsidR="006B42D9" w:rsidRDefault="00E94686">
      <w:pPr>
        <w:spacing w:before="180"/>
      </w:pPr>
      <w:r>
        <w:rPr>
          <w:b/>
          <w:sz w:val="32"/>
        </w:rPr>
        <w:t>7. Tiesību akta projekta izpildes nodrošināšana un tās ietekme uz institūcijām</w:t>
      </w:r>
    </w:p>
    <w:p w14:paraId="1FC6B3B8" w14:textId="77777777" w:rsidR="006B42D9" w:rsidRDefault="00E94686">
      <w:pPr>
        <w:spacing w:before="90" w:after="90"/>
      </w:pPr>
      <w:r>
        <w:rPr>
          <w:b/>
        </w:rPr>
        <w:t>Vai projekts skar šo jomu?</w:t>
      </w:r>
    </w:p>
    <w:p w14:paraId="24E96453" w14:textId="77777777" w:rsidR="006B42D9" w:rsidRDefault="00E94686">
      <w:r>
        <w:t>Jā</w:t>
      </w:r>
    </w:p>
    <w:p w14:paraId="28BA8CC2" w14:textId="77777777" w:rsidR="006B42D9" w:rsidRDefault="00E94686">
      <w:pPr>
        <w:spacing w:before="270" w:after="180"/>
      </w:pPr>
      <w:r>
        <w:rPr>
          <w:b/>
          <w:sz w:val="30"/>
        </w:rPr>
        <w:t>7.1. Projekta izpildē iesaistītās institūcijas</w:t>
      </w:r>
    </w:p>
    <w:p w14:paraId="17B6C8B1" w14:textId="77777777" w:rsidR="006B42D9" w:rsidRDefault="00E94686">
      <w:pPr>
        <w:spacing w:before="90" w:after="90"/>
      </w:pPr>
      <w:r>
        <w:rPr>
          <w:b/>
        </w:rPr>
        <w:t>Institūcijas</w:t>
      </w:r>
    </w:p>
    <w:p w14:paraId="3F8B4569" w14:textId="77777777" w:rsidR="000728DD" w:rsidRDefault="000728DD" w:rsidP="000728DD">
      <w:r w:rsidRPr="000728DD">
        <w:t>Sabiedrības integrācijas fonds</w:t>
      </w:r>
    </w:p>
    <w:p w14:paraId="6DED900F" w14:textId="4DB9D17B" w:rsidR="00C844E5" w:rsidRDefault="00C844E5" w:rsidP="00C844E5">
      <w:r>
        <w:t xml:space="preserve">Biedrība </w:t>
      </w:r>
      <w:r w:rsidRPr="00CF4B93">
        <w:t>“Latvijas Pilsoniskā alianse”</w:t>
      </w:r>
    </w:p>
    <w:p w14:paraId="3952A7E9" w14:textId="77777777" w:rsidR="00C844E5" w:rsidRPr="00C844E5" w:rsidRDefault="00C844E5" w:rsidP="00C844E5">
      <w:r w:rsidRPr="00C844E5">
        <w:t>Biedrība “Zemgales NVO centrs”</w:t>
      </w:r>
    </w:p>
    <w:p w14:paraId="5FC8154F" w14:textId="77777777" w:rsidR="00C844E5" w:rsidRPr="00C844E5" w:rsidRDefault="00C844E5" w:rsidP="00C844E5">
      <w:r w:rsidRPr="00C844E5">
        <w:t>Biedrība “Dienvidlatgales NVO atbalsta centrs”</w:t>
      </w:r>
    </w:p>
    <w:p w14:paraId="4B51032F" w14:textId="77777777" w:rsidR="00C844E5" w:rsidRPr="00C844E5" w:rsidRDefault="00C844E5" w:rsidP="00C844E5">
      <w:r w:rsidRPr="00C844E5">
        <w:t>Biedrība “Kurzemes NVO centrs”</w:t>
      </w:r>
    </w:p>
    <w:p w14:paraId="642E01D4" w14:textId="6C7F8F2A" w:rsidR="00C844E5" w:rsidRPr="00C844E5" w:rsidRDefault="00C844E5" w:rsidP="00C844E5">
      <w:r w:rsidRPr="00C844E5">
        <w:t>Nodibinājums “Valmieras novada fonds”</w:t>
      </w:r>
    </w:p>
    <w:p w14:paraId="107EFE33" w14:textId="77777777" w:rsidR="006B42D9" w:rsidRDefault="00E94686">
      <w:r>
        <w:t>Centrālā finanšu un līgumu aģentūra</w:t>
      </w:r>
    </w:p>
    <w:p w14:paraId="72EAA4AB" w14:textId="77777777" w:rsidR="006B42D9" w:rsidRDefault="00E94686">
      <w:r>
        <w:t>Kultūras ministrija</w:t>
      </w:r>
    </w:p>
    <w:p w14:paraId="04EB2902" w14:textId="77777777" w:rsidR="006B42D9" w:rsidRDefault="00E94686">
      <w:pPr>
        <w:spacing w:before="270" w:after="180"/>
      </w:pPr>
      <w:r>
        <w:rPr>
          <w:b/>
          <w:sz w:val="30"/>
        </w:rPr>
        <w:t>7.2. Administratīvo izmaksu monetārs novērtējums</w:t>
      </w:r>
    </w:p>
    <w:p w14:paraId="4C90DB89" w14:textId="77777777" w:rsidR="006B42D9" w:rsidRDefault="00E94686">
      <w:pPr>
        <w:spacing w:before="90" w:after="90"/>
      </w:pPr>
      <w:r>
        <w:rPr>
          <w:b/>
        </w:rPr>
        <w:t>Vai projekts skar šo jomu?</w:t>
      </w:r>
    </w:p>
    <w:p w14:paraId="6C42FE3E" w14:textId="77777777" w:rsidR="006B42D9" w:rsidRDefault="00E94686">
      <w:r>
        <w:t>Nē</w:t>
      </w:r>
    </w:p>
    <w:p w14:paraId="61208ACE" w14:textId="77777777" w:rsidR="006B42D9" w:rsidRDefault="00E94686">
      <w:pPr>
        <w:spacing w:before="270" w:after="180"/>
      </w:pPr>
      <w:r>
        <w:rPr>
          <w:b/>
          <w:sz w:val="30"/>
        </w:rPr>
        <w:t>7.3. Atbilstības izmaksu monetārs novērtējums</w:t>
      </w:r>
    </w:p>
    <w:p w14:paraId="3879EB76" w14:textId="77777777" w:rsidR="006B42D9" w:rsidRDefault="00E94686">
      <w:pPr>
        <w:spacing w:before="90" w:after="90"/>
      </w:pPr>
      <w:r>
        <w:rPr>
          <w:b/>
        </w:rPr>
        <w:t>Vai projekts skar šo jomu?</w:t>
      </w:r>
    </w:p>
    <w:p w14:paraId="384AD38D" w14:textId="77777777" w:rsidR="006B42D9" w:rsidRDefault="00E94686">
      <w:r>
        <w:t>Nē</w:t>
      </w:r>
    </w:p>
    <w:p w14:paraId="29A29F37" w14:textId="77777777" w:rsidR="006B42D9" w:rsidRDefault="00E94686">
      <w:pPr>
        <w:spacing w:before="270" w:after="180"/>
      </w:pPr>
      <w:r>
        <w:rPr>
          <w:b/>
          <w:sz w:val="30"/>
        </w:rPr>
        <w:lastRenderedPageBreak/>
        <w:t>7.4. Projekta izpildes ietekme uz pārvaldes funkcijām un institucionālo struktūru</w:t>
      </w:r>
    </w:p>
    <w:tbl>
      <w:tblPr>
        <w:tblStyle w:val="a"/>
        <w:tblW w:w="9642" w:type="dxa"/>
        <w:tblInd w:w="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6B42D9" w14:paraId="5B6F15E3" w14:textId="77777777">
        <w:tc>
          <w:tcPr>
            <w:tcW w:w="4371" w:type="dxa"/>
            <w:shd w:val="clear" w:color="auto" w:fill="FFFFFF"/>
            <w:noWrap/>
            <w:tcMar>
              <w:top w:w="75" w:type="dxa"/>
              <w:left w:w="75" w:type="dxa"/>
              <w:bottom w:w="75" w:type="dxa"/>
              <w:right w:w="75" w:type="dxa"/>
            </w:tcMar>
            <w:vAlign w:val="center"/>
          </w:tcPr>
          <w:p w14:paraId="5EC2D666" w14:textId="77777777" w:rsidR="006B42D9" w:rsidRDefault="00E94686">
            <w:pPr>
              <w:spacing w:line="240" w:lineRule="auto"/>
              <w:jc w:val="left"/>
            </w:pPr>
            <w:r>
              <w:rPr>
                <w:b/>
                <w:sz w:val="24"/>
              </w:rPr>
              <w:t>Ietekme</w:t>
            </w:r>
          </w:p>
        </w:tc>
        <w:tc>
          <w:tcPr>
            <w:tcW w:w="900" w:type="dxa"/>
            <w:shd w:val="clear" w:color="auto" w:fill="FFFFFF"/>
            <w:noWrap/>
            <w:tcMar>
              <w:top w:w="75" w:type="dxa"/>
              <w:left w:w="75" w:type="dxa"/>
              <w:bottom w:w="75" w:type="dxa"/>
              <w:right w:w="75" w:type="dxa"/>
            </w:tcMar>
            <w:vAlign w:val="center"/>
          </w:tcPr>
          <w:p w14:paraId="73A7E397" w14:textId="77777777" w:rsidR="006B42D9" w:rsidRDefault="00E94686">
            <w:pPr>
              <w:spacing w:line="240" w:lineRule="auto"/>
              <w:jc w:val="left"/>
            </w:pPr>
            <w:r>
              <w:rPr>
                <w:b/>
                <w:sz w:val="24"/>
              </w:rPr>
              <w:t>Jā/Nē</w:t>
            </w:r>
          </w:p>
        </w:tc>
        <w:tc>
          <w:tcPr>
            <w:tcW w:w="4371" w:type="dxa"/>
            <w:shd w:val="clear" w:color="auto" w:fill="FFFFFF"/>
            <w:noWrap/>
            <w:tcMar>
              <w:top w:w="75" w:type="dxa"/>
              <w:left w:w="75" w:type="dxa"/>
              <w:bottom w:w="75" w:type="dxa"/>
              <w:right w:w="75" w:type="dxa"/>
            </w:tcMar>
            <w:vAlign w:val="center"/>
          </w:tcPr>
          <w:p w14:paraId="0AD2FE36" w14:textId="77777777" w:rsidR="006B42D9" w:rsidRDefault="00E94686">
            <w:pPr>
              <w:spacing w:line="240" w:lineRule="auto"/>
              <w:jc w:val="left"/>
            </w:pPr>
            <w:r>
              <w:rPr>
                <w:b/>
                <w:sz w:val="24"/>
              </w:rPr>
              <w:t>Skaidrojums</w:t>
            </w:r>
          </w:p>
        </w:tc>
      </w:tr>
      <w:tr w:rsidR="006B42D9" w14:paraId="0D17C2E9" w14:textId="77777777">
        <w:tc>
          <w:tcPr>
            <w:tcW w:w="4371" w:type="dxa"/>
            <w:shd w:val="clear" w:color="auto" w:fill="FFFFFF"/>
            <w:noWrap/>
            <w:tcMar>
              <w:top w:w="75" w:type="dxa"/>
              <w:left w:w="75" w:type="dxa"/>
              <w:bottom w:w="75" w:type="dxa"/>
              <w:right w:w="75" w:type="dxa"/>
            </w:tcMar>
            <w:vAlign w:val="center"/>
          </w:tcPr>
          <w:p w14:paraId="4FA78F1D" w14:textId="77777777" w:rsidR="006B42D9" w:rsidRDefault="00E94686">
            <w:pPr>
              <w:spacing w:line="240" w:lineRule="auto"/>
              <w:jc w:val="left"/>
            </w:pPr>
            <w:r>
              <w:rPr>
                <w:sz w:val="24"/>
              </w:rPr>
              <w:t>1. Tiks veidota jauna institūcija</w:t>
            </w:r>
          </w:p>
        </w:tc>
        <w:tc>
          <w:tcPr>
            <w:tcW w:w="900" w:type="dxa"/>
            <w:shd w:val="clear" w:color="auto" w:fill="FFFFFF"/>
            <w:noWrap/>
            <w:tcMar>
              <w:top w:w="75" w:type="dxa"/>
              <w:left w:w="75" w:type="dxa"/>
              <w:bottom w:w="75" w:type="dxa"/>
              <w:right w:w="75" w:type="dxa"/>
            </w:tcMar>
            <w:vAlign w:val="center"/>
          </w:tcPr>
          <w:p w14:paraId="6A2A29B8" w14:textId="77777777" w:rsidR="006B42D9" w:rsidRDefault="00E94686">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6E8F5E0B" w14:textId="77777777" w:rsidR="006B42D9" w:rsidRDefault="00E94686">
            <w:pPr>
              <w:spacing w:line="240" w:lineRule="auto"/>
            </w:pPr>
            <w:r>
              <w:rPr>
                <w:sz w:val="24"/>
              </w:rPr>
              <w:t>-</w:t>
            </w:r>
          </w:p>
        </w:tc>
      </w:tr>
      <w:tr w:rsidR="006B42D9" w14:paraId="192E87C9" w14:textId="77777777">
        <w:tc>
          <w:tcPr>
            <w:tcW w:w="4371" w:type="dxa"/>
            <w:shd w:val="clear" w:color="auto" w:fill="FFFFFF"/>
            <w:noWrap/>
            <w:tcMar>
              <w:top w:w="75" w:type="dxa"/>
              <w:left w:w="75" w:type="dxa"/>
              <w:bottom w:w="75" w:type="dxa"/>
              <w:right w:w="75" w:type="dxa"/>
            </w:tcMar>
            <w:vAlign w:val="center"/>
          </w:tcPr>
          <w:p w14:paraId="639D224F" w14:textId="77777777" w:rsidR="006B42D9" w:rsidRDefault="00E94686">
            <w:pPr>
              <w:spacing w:line="240" w:lineRule="auto"/>
              <w:jc w:val="left"/>
            </w:pPr>
            <w:r>
              <w:rPr>
                <w:sz w:val="24"/>
              </w:rPr>
              <w:t>2. Tiks likvidēta institūcija</w:t>
            </w:r>
          </w:p>
        </w:tc>
        <w:tc>
          <w:tcPr>
            <w:tcW w:w="900" w:type="dxa"/>
            <w:shd w:val="clear" w:color="auto" w:fill="FFFFFF"/>
            <w:noWrap/>
            <w:tcMar>
              <w:top w:w="75" w:type="dxa"/>
              <w:left w:w="75" w:type="dxa"/>
              <w:bottom w:w="75" w:type="dxa"/>
              <w:right w:w="75" w:type="dxa"/>
            </w:tcMar>
            <w:vAlign w:val="center"/>
          </w:tcPr>
          <w:p w14:paraId="1E3A1D59" w14:textId="77777777" w:rsidR="006B42D9" w:rsidRDefault="00E94686">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3684A158" w14:textId="77777777" w:rsidR="006B42D9" w:rsidRDefault="00E94686">
            <w:pPr>
              <w:spacing w:line="240" w:lineRule="auto"/>
            </w:pPr>
            <w:r>
              <w:rPr>
                <w:sz w:val="24"/>
              </w:rPr>
              <w:t>-</w:t>
            </w:r>
          </w:p>
        </w:tc>
      </w:tr>
      <w:tr w:rsidR="006B42D9" w14:paraId="6718967D" w14:textId="77777777">
        <w:tc>
          <w:tcPr>
            <w:tcW w:w="4371" w:type="dxa"/>
            <w:shd w:val="clear" w:color="auto" w:fill="FFFFFF"/>
            <w:noWrap/>
            <w:tcMar>
              <w:top w:w="75" w:type="dxa"/>
              <w:left w:w="75" w:type="dxa"/>
              <w:bottom w:w="75" w:type="dxa"/>
              <w:right w:w="75" w:type="dxa"/>
            </w:tcMar>
            <w:vAlign w:val="center"/>
          </w:tcPr>
          <w:p w14:paraId="291BE331" w14:textId="77777777" w:rsidR="006B42D9" w:rsidRDefault="00E94686">
            <w:pPr>
              <w:spacing w:line="240" w:lineRule="auto"/>
              <w:jc w:val="left"/>
            </w:pPr>
            <w:r>
              <w:rPr>
                <w:sz w:val="24"/>
              </w:rPr>
              <w:t>3. Tiks veikta esošās institūcijas reorganizācija</w:t>
            </w:r>
          </w:p>
        </w:tc>
        <w:tc>
          <w:tcPr>
            <w:tcW w:w="900" w:type="dxa"/>
            <w:shd w:val="clear" w:color="auto" w:fill="FFFFFF"/>
            <w:noWrap/>
            <w:tcMar>
              <w:top w:w="75" w:type="dxa"/>
              <w:left w:w="75" w:type="dxa"/>
              <w:bottom w:w="75" w:type="dxa"/>
              <w:right w:w="75" w:type="dxa"/>
            </w:tcMar>
            <w:vAlign w:val="center"/>
          </w:tcPr>
          <w:p w14:paraId="2DE798FB" w14:textId="77777777" w:rsidR="006B42D9" w:rsidRDefault="00E94686">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28E4A848" w14:textId="77777777" w:rsidR="006B42D9" w:rsidRDefault="00E94686">
            <w:pPr>
              <w:spacing w:line="240" w:lineRule="auto"/>
            </w:pPr>
            <w:r>
              <w:rPr>
                <w:sz w:val="24"/>
              </w:rPr>
              <w:t>-</w:t>
            </w:r>
          </w:p>
        </w:tc>
      </w:tr>
      <w:tr w:rsidR="006B42D9" w14:paraId="31BADFFB" w14:textId="77777777">
        <w:tc>
          <w:tcPr>
            <w:tcW w:w="4371" w:type="dxa"/>
            <w:shd w:val="clear" w:color="auto" w:fill="FFFFFF"/>
            <w:noWrap/>
            <w:tcMar>
              <w:top w:w="75" w:type="dxa"/>
              <w:left w:w="75" w:type="dxa"/>
              <w:bottom w:w="75" w:type="dxa"/>
              <w:right w:w="75" w:type="dxa"/>
            </w:tcMar>
            <w:vAlign w:val="center"/>
          </w:tcPr>
          <w:p w14:paraId="35522C6D" w14:textId="77777777" w:rsidR="006B42D9" w:rsidRDefault="00E94686">
            <w:pPr>
              <w:spacing w:line="240" w:lineRule="auto"/>
              <w:jc w:val="left"/>
            </w:pPr>
            <w:r>
              <w:rPr>
                <w:sz w:val="24"/>
              </w:rPr>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14:paraId="2C7F2478" w14:textId="77777777" w:rsidR="006B42D9" w:rsidRDefault="00E94686">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24A6E563" w14:textId="77777777" w:rsidR="006B42D9" w:rsidRDefault="00E94686">
            <w:pPr>
              <w:spacing w:line="240" w:lineRule="auto"/>
            </w:pPr>
            <w:r>
              <w:rPr>
                <w:sz w:val="24"/>
              </w:rPr>
              <w:t>-</w:t>
            </w:r>
          </w:p>
        </w:tc>
      </w:tr>
      <w:tr w:rsidR="006B42D9" w14:paraId="722F77D1" w14:textId="77777777">
        <w:tc>
          <w:tcPr>
            <w:tcW w:w="4371" w:type="dxa"/>
            <w:shd w:val="clear" w:color="auto" w:fill="FFFFFF"/>
            <w:noWrap/>
            <w:tcMar>
              <w:top w:w="75" w:type="dxa"/>
              <w:left w:w="75" w:type="dxa"/>
              <w:bottom w:w="75" w:type="dxa"/>
              <w:right w:w="75" w:type="dxa"/>
            </w:tcMar>
            <w:vAlign w:val="center"/>
          </w:tcPr>
          <w:p w14:paraId="692F71EE" w14:textId="77777777" w:rsidR="006B42D9" w:rsidRDefault="00E94686">
            <w:pPr>
              <w:spacing w:line="240" w:lineRule="auto"/>
              <w:jc w:val="left"/>
            </w:pPr>
            <w:r>
              <w:rPr>
                <w:sz w:val="24"/>
              </w:rPr>
              <w:t>5. Tiks veikta iekšējo institūcijas procesu efektivizācija</w:t>
            </w:r>
          </w:p>
        </w:tc>
        <w:tc>
          <w:tcPr>
            <w:tcW w:w="900" w:type="dxa"/>
            <w:shd w:val="clear" w:color="auto" w:fill="FFFFFF"/>
            <w:noWrap/>
            <w:tcMar>
              <w:top w:w="75" w:type="dxa"/>
              <w:left w:w="75" w:type="dxa"/>
              <w:bottom w:w="75" w:type="dxa"/>
              <w:right w:w="75" w:type="dxa"/>
            </w:tcMar>
            <w:vAlign w:val="center"/>
          </w:tcPr>
          <w:p w14:paraId="5C3297D1" w14:textId="77777777" w:rsidR="006B42D9" w:rsidRDefault="00E94686">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1BF71D65" w14:textId="77777777" w:rsidR="006B42D9" w:rsidRDefault="00E94686">
            <w:pPr>
              <w:spacing w:line="240" w:lineRule="auto"/>
            </w:pPr>
            <w:r>
              <w:rPr>
                <w:sz w:val="24"/>
              </w:rPr>
              <w:t>-</w:t>
            </w:r>
          </w:p>
        </w:tc>
      </w:tr>
      <w:tr w:rsidR="006B42D9" w14:paraId="5E268018" w14:textId="77777777">
        <w:tc>
          <w:tcPr>
            <w:tcW w:w="4371" w:type="dxa"/>
            <w:shd w:val="clear" w:color="auto" w:fill="FFFFFF"/>
            <w:noWrap/>
            <w:tcMar>
              <w:top w:w="75" w:type="dxa"/>
              <w:left w:w="75" w:type="dxa"/>
              <w:bottom w:w="75" w:type="dxa"/>
              <w:right w:w="75" w:type="dxa"/>
            </w:tcMar>
            <w:vAlign w:val="center"/>
          </w:tcPr>
          <w:p w14:paraId="22147BBF" w14:textId="77777777" w:rsidR="006B42D9" w:rsidRDefault="00E94686">
            <w:pPr>
              <w:spacing w:line="240" w:lineRule="auto"/>
              <w:jc w:val="left"/>
            </w:pPr>
            <w:r>
              <w:rPr>
                <w:sz w:val="24"/>
              </w:rPr>
              <w:t>6. Tiks veikta iekšējo institūcijas procesu digitalizācija</w:t>
            </w:r>
          </w:p>
        </w:tc>
        <w:tc>
          <w:tcPr>
            <w:tcW w:w="900" w:type="dxa"/>
            <w:shd w:val="clear" w:color="auto" w:fill="FFFFFF"/>
            <w:noWrap/>
            <w:tcMar>
              <w:top w:w="75" w:type="dxa"/>
              <w:left w:w="75" w:type="dxa"/>
              <w:bottom w:w="75" w:type="dxa"/>
              <w:right w:w="75" w:type="dxa"/>
            </w:tcMar>
            <w:vAlign w:val="center"/>
          </w:tcPr>
          <w:p w14:paraId="06DC1ABE" w14:textId="77777777" w:rsidR="006B42D9" w:rsidRDefault="00E94686">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44FAA205" w14:textId="77777777" w:rsidR="006B42D9" w:rsidRDefault="00E94686">
            <w:pPr>
              <w:spacing w:line="240" w:lineRule="auto"/>
            </w:pPr>
            <w:r>
              <w:rPr>
                <w:sz w:val="24"/>
              </w:rPr>
              <w:t>-</w:t>
            </w:r>
          </w:p>
        </w:tc>
      </w:tr>
      <w:tr w:rsidR="006B42D9" w14:paraId="4B8CFA1B" w14:textId="77777777">
        <w:tc>
          <w:tcPr>
            <w:tcW w:w="4371" w:type="dxa"/>
            <w:shd w:val="clear" w:color="auto" w:fill="FFFFFF"/>
            <w:noWrap/>
            <w:tcMar>
              <w:top w:w="75" w:type="dxa"/>
              <w:left w:w="75" w:type="dxa"/>
              <w:bottom w:w="75" w:type="dxa"/>
              <w:right w:w="75" w:type="dxa"/>
            </w:tcMar>
            <w:vAlign w:val="center"/>
          </w:tcPr>
          <w:p w14:paraId="060CF03D" w14:textId="77777777" w:rsidR="006B42D9" w:rsidRDefault="00E94686">
            <w:pPr>
              <w:spacing w:line="240" w:lineRule="auto"/>
              <w:jc w:val="left"/>
            </w:pPr>
            <w:r>
              <w:rPr>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14:paraId="39690DA2" w14:textId="77777777" w:rsidR="006B42D9" w:rsidRDefault="00E94686">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0E3CBF8B" w14:textId="77777777" w:rsidR="006B42D9" w:rsidRDefault="00E94686">
            <w:pPr>
              <w:spacing w:line="240" w:lineRule="auto"/>
            </w:pPr>
            <w:r>
              <w:rPr>
                <w:sz w:val="24"/>
              </w:rPr>
              <w:t>-</w:t>
            </w:r>
          </w:p>
        </w:tc>
      </w:tr>
      <w:tr w:rsidR="006B42D9" w14:paraId="6F772363" w14:textId="77777777">
        <w:tc>
          <w:tcPr>
            <w:tcW w:w="4371" w:type="dxa"/>
            <w:shd w:val="clear" w:color="auto" w:fill="FFFFFF"/>
            <w:noWrap/>
            <w:tcMar>
              <w:top w:w="75" w:type="dxa"/>
              <w:left w:w="75" w:type="dxa"/>
              <w:bottom w:w="75" w:type="dxa"/>
              <w:right w:w="75" w:type="dxa"/>
            </w:tcMar>
            <w:vAlign w:val="center"/>
          </w:tcPr>
          <w:p w14:paraId="7A63CA00" w14:textId="77777777" w:rsidR="006B42D9" w:rsidRDefault="00E94686">
            <w:pPr>
              <w:spacing w:line="240" w:lineRule="auto"/>
              <w:jc w:val="left"/>
            </w:pPr>
            <w:r>
              <w:rPr>
                <w:sz w:val="24"/>
              </w:rPr>
              <w:t>8. Cita informācija</w:t>
            </w:r>
          </w:p>
        </w:tc>
        <w:tc>
          <w:tcPr>
            <w:tcW w:w="900" w:type="dxa"/>
            <w:shd w:val="clear" w:color="auto" w:fill="FFFFFF"/>
            <w:noWrap/>
            <w:tcMar>
              <w:top w:w="75" w:type="dxa"/>
              <w:left w:w="75" w:type="dxa"/>
              <w:bottom w:w="75" w:type="dxa"/>
              <w:right w:w="75" w:type="dxa"/>
            </w:tcMar>
            <w:vAlign w:val="center"/>
          </w:tcPr>
          <w:p w14:paraId="61496D4A" w14:textId="77777777" w:rsidR="006B42D9" w:rsidRDefault="00E94686">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58F2A37F" w14:textId="77777777" w:rsidR="006B42D9" w:rsidRDefault="00E94686">
            <w:pPr>
              <w:spacing w:line="240" w:lineRule="auto"/>
            </w:pPr>
            <w:r>
              <w:rPr>
                <w:sz w:val="24"/>
              </w:rPr>
              <w:t>-</w:t>
            </w:r>
          </w:p>
        </w:tc>
      </w:tr>
    </w:tbl>
    <w:p w14:paraId="48958E84" w14:textId="77777777" w:rsidR="006B42D9" w:rsidRDefault="00E94686">
      <w:pPr>
        <w:spacing w:before="270" w:after="180"/>
      </w:pPr>
      <w:r>
        <w:rPr>
          <w:b/>
          <w:sz w:val="30"/>
        </w:rPr>
        <w:t>7.5. Cita informācija</w:t>
      </w:r>
    </w:p>
    <w:p w14:paraId="2C893A0B" w14:textId="77777777" w:rsidR="006B42D9" w:rsidRDefault="00E94686">
      <w:pPr>
        <w:spacing w:before="90" w:after="90"/>
      </w:pPr>
      <w:r>
        <w:rPr>
          <w:b/>
        </w:rPr>
        <w:t>Cita informācija</w:t>
      </w:r>
    </w:p>
    <w:p w14:paraId="2784748A" w14:textId="77777777" w:rsidR="006B42D9" w:rsidRDefault="00E94686">
      <w:r>
        <w:t>-</w:t>
      </w:r>
    </w:p>
    <w:p w14:paraId="1F77A2FC" w14:textId="77777777" w:rsidR="006B42D9" w:rsidRDefault="00E94686">
      <w:pPr>
        <w:spacing w:before="180"/>
      </w:pPr>
      <w:r>
        <w:rPr>
          <w:b/>
          <w:sz w:val="32"/>
        </w:rPr>
        <w:t>8. Horizontālās ietekmes</w:t>
      </w:r>
    </w:p>
    <w:p w14:paraId="4BB450A6" w14:textId="77777777" w:rsidR="006B42D9" w:rsidRDefault="00E94686">
      <w:pPr>
        <w:spacing w:before="270" w:after="180"/>
      </w:pPr>
      <w:r>
        <w:rPr>
          <w:b/>
          <w:sz w:val="30"/>
        </w:rPr>
        <w:t>8.1. Projekta tiesiskā regulējuma ietekme</w:t>
      </w:r>
    </w:p>
    <w:p w14:paraId="5F86C57F" w14:textId="77777777" w:rsidR="006B42D9" w:rsidRDefault="00E94686">
      <w:pPr>
        <w:spacing w:before="270" w:after="180"/>
      </w:pPr>
      <w:r>
        <w:rPr>
          <w:b/>
          <w:sz w:val="30"/>
        </w:rPr>
        <w:t>8.1.1. uz publisku pakalpojumu attīstību</w:t>
      </w:r>
    </w:p>
    <w:p w14:paraId="50538721" w14:textId="77777777" w:rsidR="006B42D9" w:rsidRDefault="00E94686">
      <w:pPr>
        <w:spacing w:before="90" w:after="90"/>
      </w:pPr>
      <w:r>
        <w:rPr>
          <w:b/>
        </w:rPr>
        <w:t>Vai projekts skar šo jomu?</w:t>
      </w:r>
    </w:p>
    <w:p w14:paraId="2F73EFB4" w14:textId="77777777" w:rsidR="006B42D9" w:rsidRDefault="00E94686">
      <w:r>
        <w:t>Nē</w:t>
      </w:r>
    </w:p>
    <w:p w14:paraId="0DBFA9C1" w14:textId="77777777" w:rsidR="006B42D9" w:rsidRDefault="00E94686">
      <w:pPr>
        <w:spacing w:before="270" w:after="180"/>
      </w:pPr>
      <w:r>
        <w:rPr>
          <w:b/>
          <w:sz w:val="30"/>
        </w:rPr>
        <w:t>8.1.2. uz valsts un pašvaldību informācijas un komunikācijas tehnoloģiju attīstību</w:t>
      </w:r>
    </w:p>
    <w:p w14:paraId="0CE01108" w14:textId="77777777" w:rsidR="006B42D9" w:rsidRDefault="00E94686">
      <w:pPr>
        <w:spacing w:before="90" w:after="90"/>
      </w:pPr>
      <w:r>
        <w:rPr>
          <w:b/>
        </w:rPr>
        <w:t>Vai projekts skar šo jomu?</w:t>
      </w:r>
    </w:p>
    <w:p w14:paraId="0AFA1110" w14:textId="77777777" w:rsidR="006B42D9" w:rsidRDefault="00E94686">
      <w:r>
        <w:t>Nē</w:t>
      </w:r>
    </w:p>
    <w:p w14:paraId="366D4C49" w14:textId="77777777" w:rsidR="006B42D9" w:rsidRDefault="00E94686">
      <w:pPr>
        <w:spacing w:before="270" w:after="180"/>
      </w:pPr>
      <w:r>
        <w:rPr>
          <w:b/>
          <w:sz w:val="30"/>
        </w:rPr>
        <w:t>8.1.3. uz informācijas sabiedrības politikas īstenošanu</w:t>
      </w:r>
    </w:p>
    <w:p w14:paraId="1A144C36" w14:textId="77777777" w:rsidR="006B42D9" w:rsidRDefault="00E94686">
      <w:pPr>
        <w:spacing w:before="90" w:after="90"/>
      </w:pPr>
      <w:r>
        <w:rPr>
          <w:b/>
        </w:rPr>
        <w:t>Vai projekts skar šo jomu?</w:t>
      </w:r>
    </w:p>
    <w:p w14:paraId="17BC763B" w14:textId="77777777" w:rsidR="006B42D9" w:rsidRDefault="00E94686">
      <w:r>
        <w:t>Nē</w:t>
      </w:r>
    </w:p>
    <w:p w14:paraId="34107B45" w14:textId="77777777" w:rsidR="006B42D9" w:rsidRDefault="00E94686">
      <w:pPr>
        <w:spacing w:before="270" w:after="180"/>
      </w:pPr>
      <w:r>
        <w:rPr>
          <w:b/>
          <w:sz w:val="30"/>
        </w:rPr>
        <w:lastRenderedPageBreak/>
        <w:t>8.1.4. uz Nacionālā attīstības plāna rādītājiem</w:t>
      </w:r>
    </w:p>
    <w:p w14:paraId="7755C4A1" w14:textId="77777777" w:rsidR="006B42D9" w:rsidRDefault="00E94686">
      <w:pPr>
        <w:spacing w:before="90" w:after="90"/>
      </w:pPr>
      <w:r>
        <w:rPr>
          <w:b/>
        </w:rPr>
        <w:t>Vai projekts skar šo jomu?</w:t>
      </w:r>
    </w:p>
    <w:p w14:paraId="30654807" w14:textId="77777777" w:rsidR="006B42D9" w:rsidRDefault="00E94686">
      <w:r>
        <w:t>Jā</w:t>
      </w:r>
    </w:p>
    <w:p w14:paraId="388911FB" w14:textId="77777777" w:rsidR="006B42D9" w:rsidRDefault="00E94686">
      <w:pPr>
        <w:spacing w:before="90" w:after="90"/>
      </w:pPr>
      <w:r>
        <w:rPr>
          <w:b/>
        </w:rPr>
        <w:t>Apraksts</w:t>
      </w:r>
    </w:p>
    <w:p w14:paraId="7D839110" w14:textId="0012CF21" w:rsidR="006B42D9" w:rsidRDefault="00E94686">
      <w:r>
        <w:t xml:space="preserve">Latvijas Nacionālā attīstības plāna 2021.-2027. gadam (apstiprināts Saeimas 2020. gada 2. jūlija sēdē) prioritātes </w:t>
      </w:r>
      <w:r w:rsidRPr="00EB5159">
        <w:t xml:space="preserve">“Vienota, </w:t>
      </w:r>
      <w:proofErr w:type="spellStart"/>
      <w:r w:rsidRPr="00EB5159">
        <w:t>droša</w:t>
      </w:r>
      <w:proofErr w:type="spellEnd"/>
      <w:r w:rsidRPr="00EB5159">
        <w:t xml:space="preserve"> un </w:t>
      </w:r>
      <w:proofErr w:type="spellStart"/>
      <w:r w:rsidRPr="00EB5159">
        <w:t>atvērta</w:t>
      </w:r>
      <w:proofErr w:type="spellEnd"/>
      <w:r w:rsidRPr="00EB5159">
        <w:t xml:space="preserve"> </w:t>
      </w:r>
      <w:proofErr w:type="spellStart"/>
      <w:r w:rsidRPr="00EB5159">
        <w:t>sabiedrība</w:t>
      </w:r>
      <w:proofErr w:type="spellEnd"/>
      <w:r w:rsidRPr="00EB5159">
        <w:t>” rīcības virziena “</w:t>
      </w:r>
      <w:proofErr w:type="spellStart"/>
      <w:r w:rsidRPr="00EB5159">
        <w:t>Saliedētība</w:t>
      </w:r>
      <w:proofErr w:type="spellEnd"/>
      <w:r w:rsidRPr="00EB5159">
        <w:t xml:space="preserve">” </w:t>
      </w:r>
      <w:r w:rsidR="00882426" w:rsidRPr="00EB5159">
        <w:t>3</w:t>
      </w:r>
      <w:r w:rsidR="00882426">
        <w:t>99</w:t>
      </w:r>
      <w:r w:rsidR="00882426" w:rsidRPr="00882426">
        <w:t>. progresa rādītājs “</w:t>
      </w:r>
      <w:r w:rsidR="00290B7B">
        <w:t xml:space="preserve">Lepnums par piederību Latvijai </w:t>
      </w:r>
      <w:proofErr w:type="gramStart"/>
      <w:r w:rsidR="00290B7B">
        <w:t>(</w:t>
      </w:r>
      <w:proofErr w:type="gramEnd"/>
      <w:r w:rsidR="00290B7B">
        <w:t>ļoti tuvs, tuvs)</w:t>
      </w:r>
      <w:r w:rsidR="00882426" w:rsidRPr="00882426">
        <w:t>”</w:t>
      </w:r>
      <w:r w:rsidR="00882426">
        <w:t xml:space="preserve">, </w:t>
      </w:r>
      <w:r w:rsidRPr="00882426">
        <w:t>400. progresa rādītājs “Iedzīvotāju savstarpējais atbalsts”</w:t>
      </w:r>
      <w:r w:rsidR="00882426">
        <w:t>, 401</w:t>
      </w:r>
      <w:r w:rsidR="00882426" w:rsidRPr="00882426">
        <w:t>. progresa rādītājs “</w:t>
      </w:r>
      <w:r w:rsidR="00290B7B">
        <w:t>Iesaistīšanās sabiedriskajās organizācijās, respondenti, kuri atbild “nekur”</w:t>
      </w:r>
      <w:r w:rsidR="00882426" w:rsidRPr="00882426">
        <w:t>”</w:t>
      </w:r>
      <w:r w:rsidR="00882426">
        <w:t>, 402</w:t>
      </w:r>
      <w:r w:rsidR="00882426" w:rsidRPr="00882426">
        <w:t>. progresa rādītājs “</w:t>
      </w:r>
      <w:r w:rsidR="00882426" w:rsidRPr="00290B7B">
        <w:t xml:space="preserve">Iedzīvotāju </w:t>
      </w:r>
      <w:r w:rsidR="00290B7B">
        <w:t>pilsoniskā uzticēšanās – nevalstiskajām organizācijām/arodbiedrībām (pilnībā uzticas vai drīzāk uzticas)</w:t>
      </w:r>
      <w:r w:rsidR="00882426" w:rsidRPr="00882426">
        <w:t>”</w:t>
      </w:r>
      <w:r w:rsidR="00EB5159">
        <w:t xml:space="preserve"> un </w:t>
      </w:r>
      <w:r w:rsidR="00EB5159" w:rsidRPr="00951E0D">
        <w:t>virziena “Tiesiskums un pārvaldība”</w:t>
      </w:r>
      <w:r w:rsidR="00EB5159" w:rsidRPr="00EB5159">
        <w:t xml:space="preserve"> </w:t>
      </w:r>
      <w:r w:rsidR="00882426">
        <w:t>416</w:t>
      </w:r>
      <w:r w:rsidR="00882426" w:rsidRPr="00882426">
        <w:t>. progresa rādītājs “</w:t>
      </w:r>
      <w:r w:rsidR="00290B7B">
        <w:t>Apmierinātība ar to, kā darbojas demokrātija (pilnīgi apmierināts, drīzāk apmierināts)</w:t>
      </w:r>
      <w:r w:rsidR="00882426" w:rsidRPr="00882426">
        <w:t>”</w:t>
      </w:r>
      <w:r w:rsidR="00882426">
        <w:t>, 417</w:t>
      </w:r>
      <w:r w:rsidR="00882426" w:rsidRPr="00882426">
        <w:t>. progresa rādītājs “</w:t>
      </w:r>
      <w:r w:rsidR="00882426" w:rsidRPr="00290B7B">
        <w:t xml:space="preserve">Iedzīvotāju </w:t>
      </w:r>
      <w:r w:rsidR="00290B7B" w:rsidRPr="00290B7B">
        <w:t>pilsoniskās</w:t>
      </w:r>
      <w:r w:rsidR="00290B7B">
        <w:t xml:space="preserve"> līdzdalības indekss</w:t>
      </w:r>
      <w:r w:rsidR="00882426" w:rsidRPr="00882426">
        <w:t>”</w:t>
      </w:r>
      <w:r w:rsidR="00882426">
        <w:t xml:space="preserve"> un 418</w:t>
      </w:r>
      <w:r w:rsidR="00882426" w:rsidRPr="00882426">
        <w:t>. progresa rādītājs “</w:t>
      </w:r>
      <w:r w:rsidR="00882426" w:rsidRPr="00290B7B">
        <w:t xml:space="preserve">Iedzīvotāju </w:t>
      </w:r>
      <w:r w:rsidR="00290B7B" w:rsidRPr="00290B7B">
        <w:t>u</w:t>
      </w:r>
      <w:r w:rsidR="00290B7B">
        <w:t>ztvere par iespēju ietekmēt rīcībpolitiku</w:t>
      </w:r>
      <w:r w:rsidR="00882426" w:rsidRPr="00882426">
        <w:t>”</w:t>
      </w:r>
      <w:r w:rsidR="00882426">
        <w:t>.</w:t>
      </w:r>
      <w:r w:rsidR="00882426" w:rsidRPr="00882426">
        <w:t xml:space="preserve">     </w:t>
      </w:r>
      <w:r w:rsidRPr="00882426">
        <w:t xml:space="preserve"> </w:t>
      </w:r>
    </w:p>
    <w:p w14:paraId="3B610C92" w14:textId="77777777" w:rsidR="006B42D9" w:rsidRDefault="00E94686">
      <w:pPr>
        <w:spacing w:before="270" w:after="180"/>
      </w:pPr>
      <w:r>
        <w:rPr>
          <w:b/>
          <w:sz w:val="30"/>
        </w:rPr>
        <w:t>8.1.5. uz teritoriju attīstību</w:t>
      </w:r>
    </w:p>
    <w:p w14:paraId="152C1D53" w14:textId="77777777" w:rsidR="006B42D9" w:rsidRDefault="00E94686">
      <w:pPr>
        <w:spacing w:before="90" w:after="90"/>
      </w:pPr>
      <w:r>
        <w:rPr>
          <w:b/>
        </w:rPr>
        <w:t>Vai projekts skar šo jomu?</w:t>
      </w:r>
    </w:p>
    <w:p w14:paraId="586DBC49" w14:textId="77777777" w:rsidR="006B42D9" w:rsidRDefault="00E94686">
      <w:r>
        <w:t>Nē</w:t>
      </w:r>
    </w:p>
    <w:p w14:paraId="04DD3323" w14:textId="77777777" w:rsidR="006B42D9" w:rsidRDefault="00E94686">
      <w:pPr>
        <w:spacing w:before="270" w:after="180"/>
      </w:pPr>
      <w:r>
        <w:rPr>
          <w:b/>
          <w:sz w:val="30"/>
        </w:rPr>
        <w:t>8.1.6. uz vidi</w:t>
      </w:r>
    </w:p>
    <w:p w14:paraId="34FF676F" w14:textId="77777777" w:rsidR="006B42D9" w:rsidRDefault="00E94686">
      <w:pPr>
        <w:spacing w:before="90" w:after="90"/>
      </w:pPr>
      <w:r>
        <w:rPr>
          <w:b/>
        </w:rPr>
        <w:t>Vai projekts skar šo jomu?</w:t>
      </w:r>
    </w:p>
    <w:p w14:paraId="452FDD1F" w14:textId="77777777" w:rsidR="006B42D9" w:rsidRDefault="00E94686">
      <w:r>
        <w:t>Nē</w:t>
      </w:r>
    </w:p>
    <w:p w14:paraId="5842D942" w14:textId="77777777" w:rsidR="006B42D9" w:rsidRDefault="00E94686">
      <w:pPr>
        <w:spacing w:before="270" w:after="180"/>
      </w:pPr>
      <w:r>
        <w:rPr>
          <w:b/>
          <w:sz w:val="30"/>
        </w:rPr>
        <w:t xml:space="preserve">8.1.7. uz </w:t>
      </w:r>
      <w:proofErr w:type="spellStart"/>
      <w:r>
        <w:rPr>
          <w:b/>
          <w:sz w:val="30"/>
        </w:rPr>
        <w:t>klimatneitralitāti</w:t>
      </w:r>
      <w:proofErr w:type="spellEnd"/>
    </w:p>
    <w:p w14:paraId="1795A181" w14:textId="77777777" w:rsidR="006B42D9" w:rsidRDefault="00E94686">
      <w:pPr>
        <w:spacing w:before="90" w:after="90"/>
      </w:pPr>
      <w:r>
        <w:rPr>
          <w:b/>
        </w:rPr>
        <w:t>Vai projekts skar šo jomu?</w:t>
      </w:r>
    </w:p>
    <w:p w14:paraId="6261943F" w14:textId="77777777" w:rsidR="006B42D9" w:rsidRDefault="00E94686">
      <w:r>
        <w:t>Nē</w:t>
      </w:r>
    </w:p>
    <w:p w14:paraId="5481328A" w14:textId="77777777" w:rsidR="006B42D9" w:rsidRDefault="00E94686">
      <w:pPr>
        <w:spacing w:before="270" w:after="180"/>
      </w:pPr>
      <w:r>
        <w:rPr>
          <w:b/>
          <w:sz w:val="30"/>
        </w:rPr>
        <w:t>8.1.8. uz iedzīvotāju sociālo situāciju</w:t>
      </w:r>
    </w:p>
    <w:p w14:paraId="7B7CC96C" w14:textId="77777777" w:rsidR="006B42D9" w:rsidRDefault="00E94686">
      <w:pPr>
        <w:spacing w:before="90" w:after="90"/>
      </w:pPr>
      <w:r>
        <w:rPr>
          <w:b/>
        </w:rPr>
        <w:t>Vai projekts skar šo jomu?</w:t>
      </w:r>
    </w:p>
    <w:p w14:paraId="7D4826A5" w14:textId="77777777" w:rsidR="006B42D9" w:rsidRDefault="00E94686">
      <w:r>
        <w:t>Jā</w:t>
      </w:r>
    </w:p>
    <w:p w14:paraId="53FF963B" w14:textId="77777777" w:rsidR="006B42D9" w:rsidRDefault="00E94686">
      <w:pPr>
        <w:spacing w:before="90" w:after="90"/>
      </w:pPr>
      <w:r>
        <w:rPr>
          <w:b/>
        </w:rPr>
        <w:t>Apraksts</w:t>
      </w:r>
    </w:p>
    <w:p w14:paraId="0F332CE1" w14:textId="77777777" w:rsidR="006B42D9" w:rsidRDefault="00E94686">
      <w:r>
        <w:t>-</w:t>
      </w:r>
    </w:p>
    <w:p w14:paraId="394D663E" w14:textId="77777777" w:rsidR="006B42D9" w:rsidRDefault="00E94686">
      <w:pPr>
        <w:spacing w:before="270" w:after="180"/>
      </w:pPr>
      <w:r>
        <w:rPr>
          <w:b/>
          <w:sz w:val="30"/>
        </w:rPr>
        <w:t>8.1.9. uz personu ar invaliditāti vienlīdzīgām iespējām un tiesībām</w:t>
      </w:r>
    </w:p>
    <w:p w14:paraId="69581C55" w14:textId="77777777" w:rsidR="006B42D9" w:rsidRDefault="00E94686">
      <w:pPr>
        <w:spacing w:before="90" w:after="90"/>
      </w:pPr>
      <w:r>
        <w:rPr>
          <w:b/>
        </w:rPr>
        <w:t>Vai projekts skar šo jomu?</w:t>
      </w:r>
    </w:p>
    <w:p w14:paraId="7443D17A" w14:textId="77777777" w:rsidR="006B42D9" w:rsidRDefault="00E94686">
      <w:r>
        <w:t>Jā</w:t>
      </w:r>
    </w:p>
    <w:p w14:paraId="68C82509" w14:textId="77777777" w:rsidR="006B42D9" w:rsidRDefault="00E94686">
      <w:pPr>
        <w:spacing w:before="90" w:after="90"/>
      </w:pPr>
      <w:r>
        <w:rPr>
          <w:b/>
        </w:rPr>
        <w:lastRenderedPageBreak/>
        <w:t>Apraksts</w:t>
      </w:r>
    </w:p>
    <w:p w14:paraId="6141C3E0" w14:textId="531E5998" w:rsidR="006B42D9" w:rsidRDefault="00E94686">
      <w:r>
        <w:t>4.3.4.</w:t>
      </w:r>
      <w:r w:rsidR="00071066">
        <w:t>9</w:t>
      </w:r>
      <w:r>
        <w:t>. pasākuma projekta īstenošanā, ņemot vērā konkrēto darbību specifiku, tiks izvērtēta iespēja iekļaut darbības, kas veicina horizontālā principa ”Vienlīdzība, iekļaušana, nediskriminācija un pamattiesību ievērošana” ievērošanu, piemēram: </w:t>
      </w:r>
    </w:p>
    <w:p w14:paraId="33046103" w14:textId="77777777" w:rsidR="006B42D9" w:rsidRDefault="00E94686">
      <w:r>
        <w:t>- projekta vadības un īstenošanas personāla atlase tiks nodrošināta bez jebkādas tiešas vai netiešas diskriminācijas - neatkarīgi no personas rases, ādas krāsas, dzimuma, vecuma, invaliditātes, reliģiskās, politiskās vai citas pārliecības, nacionālās vai sociālās izcelsmes, mantiskā vai ģimenes stāvokļa, seksuālās orientācijas vai citiem apstākļiem; </w:t>
      </w:r>
    </w:p>
    <w:p w14:paraId="4A0A7480" w14:textId="77777777" w:rsidR="006B42D9" w:rsidRDefault="00E94686">
      <w:r>
        <w:t xml:space="preserve">- projekta tīmekļa vietnē tiks norādīta informācija par projekta darbību īstenošanas vietas </w:t>
      </w:r>
      <w:proofErr w:type="spellStart"/>
      <w:r>
        <w:t>piekļūstamību</w:t>
      </w:r>
      <w:proofErr w:type="spellEnd"/>
      <w:r>
        <w:t xml:space="preserve"> cilvēkiem ar invaliditāti un funkcionāliem traucējumiem, vecākiem ar maziem bērniem un senioriem; </w:t>
      </w:r>
    </w:p>
    <w:p w14:paraId="0E242620" w14:textId="77777777" w:rsidR="006B42D9" w:rsidRDefault="00E94686">
      <w:r>
        <w:t xml:space="preserve">- pasākumu rīkošanai iepirkuma nolikumā tiks paredzēta prasība par telpu un satura </w:t>
      </w:r>
      <w:proofErr w:type="spellStart"/>
      <w:r>
        <w:t>piekļūstamību</w:t>
      </w:r>
      <w:proofErr w:type="spellEnd"/>
      <w:r>
        <w:t>, ēdināšanas pakalpojuma nodrošināšanai tiks piesaistīts sociālais uzņēmums, kurš nodarbina cilvēkus ar invaliditāti u.c.; </w:t>
      </w:r>
    </w:p>
    <w:p w14:paraId="1BD74204" w14:textId="77777777" w:rsidR="006B42D9" w:rsidRDefault="00E94686">
      <w:r>
        <w:t>- informatīvo materiālu saturs tiks veidots, ievērojot dzimumu līdztiesības un nediskriminācijas principus, īpašu uzmanību veltot sabiedrībā valdošo stereotipu par dzimumu lomu sadalījumu, vecumu, invaliditāti, etnisko piederību u.c. pazīmēm izskaušanai un nepieļaujot stereotipiskus attēlojumus informatīvajos materiālos; </w:t>
      </w:r>
    </w:p>
    <w:p w14:paraId="2C0C4342" w14:textId="77777777" w:rsidR="006B42D9" w:rsidRDefault="00E94686">
      <w:r>
        <w:t>- informācija tiks izstrādāta un pasniegta piekļūstamos formātos (t.sk. audiāli un elektroniski), piemēram, ar burtu palielinājuma iespēju personām ar invaliditāti un senioriem.</w:t>
      </w:r>
    </w:p>
    <w:p w14:paraId="6D7D1078" w14:textId="77777777" w:rsidR="006B42D9" w:rsidRDefault="00E94686">
      <w:pPr>
        <w:spacing w:before="270" w:after="180"/>
      </w:pPr>
      <w:r>
        <w:rPr>
          <w:b/>
          <w:sz w:val="30"/>
        </w:rPr>
        <w:t>8.1.10. uz dzimumu līdztiesību</w:t>
      </w:r>
    </w:p>
    <w:p w14:paraId="71EDAF19" w14:textId="77777777" w:rsidR="006B42D9" w:rsidRDefault="00E94686">
      <w:pPr>
        <w:spacing w:before="90" w:after="90"/>
      </w:pPr>
      <w:r>
        <w:rPr>
          <w:b/>
        </w:rPr>
        <w:t>Vai projekts skar šo jomu?</w:t>
      </w:r>
    </w:p>
    <w:p w14:paraId="46633450" w14:textId="77777777" w:rsidR="006B42D9" w:rsidRDefault="00E94686">
      <w:r>
        <w:t>Jā</w:t>
      </w:r>
    </w:p>
    <w:p w14:paraId="66DABFFF" w14:textId="77777777" w:rsidR="006B42D9" w:rsidRDefault="00E94686">
      <w:pPr>
        <w:spacing w:before="90" w:after="90"/>
      </w:pPr>
      <w:r>
        <w:rPr>
          <w:b/>
        </w:rPr>
        <w:t>Apraksts</w:t>
      </w:r>
    </w:p>
    <w:p w14:paraId="710478CB" w14:textId="370169F8" w:rsidR="006B42D9" w:rsidRDefault="00E94686">
      <w:r>
        <w:t>4.3.4.</w:t>
      </w:r>
      <w:r w:rsidR="00BB3D12">
        <w:t>9</w:t>
      </w:r>
      <w:r>
        <w:t>. pasākuma projekta īstenošanā, ņemot vērā konkrēto darbību specifiku, tiks izvērtēta iespēja iekļaut darbības, kas veicina horizontālā principa ”Vienlīdzība, iekļaušana, nediskriminācija un pamattiesību ievērošana”, tai skaitā  dzimumu līdztiesību veicināšanai, piemēram: </w:t>
      </w:r>
    </w:p>
    <w:p w14:paraId="539AF7CF" w14:textId="77777777" w:rsidR="006B42D9" w:rsidRDefault="00E94686">
      <w:r>
        <w:t>- īstenojot projekta komunikācijas aktivitātes, tiks izvēlēta valoda un vizuālie tēli, kas mazina diskrimināciju un stereotipu veidošanos (skat. metodisko materiālu “Ieteikumi diskrimināciju un stereotipus mazinošai komunikācijai ar sabiedrību”, https://www.lm.gov.lv/lv/media/18838/download?attachment);   </w:t>
      </w:r>
    </w:p>
    <w:p w14:paraId="7B21A7F9" w14:textId="77777777" w:rsidR="006B42D9" w:rsidRDefault="00E94686">
      <w:r>
        <w:t>- tiks nodrošināts bērnu uzraudzības pakalpojums mērķa grupai, saņemot sociālā darbinieka vai sociālā mentora pakalpojumu, kas dos vienlīdzīgas iespējas piedalīties mācībās vecākiem, kuri aprūpē mazus bērnus; </w:t>
      </w:r>
    </w:p>
    <w:p w14:paraId="5535EB40" w14:textId="77777777" w:rsidR="006B42D9" w:rsidRDefault="00E94686">
      <w:r>
        <w:t xml:space="preserve">- tiks nodrošinātas dzimumu līdztiesības ekspertu un ekspertu vienlīdzīgu iespēju jautājumos  konsultācijas/iesaiste, projekta īstenošanas personāla apmācībām darbam </w:t>
      </w:r>
      <w:r>
        <w:lastRenderedPageBreak/>
        <w:t>ar mērķa grupu, lai nodrošinātu mērķa grupas interesēs un vajadzībās balstītu pieeju atbalsta sniegšanā.</w:t>
      </w:r>
    </w:p>
    <w:p w14:paraId="108ED064" w14:textId="77777777" w:rsidR="006B42D9" w:rsidRDefault="00E94686">
      <w:pPr>
        <w:spacing w:before="270" w:after="180"/>
      </w:pPr>
      <w:r>
        <w:rPr>
          <w:b/>
          <w:sz w:val="30"/>
        </w:rPr>
        <w:t>8.1.11. uz veselību</w:t>
      </w:r>
    </w:p>
    <w:p w14:paraId="51DD5382" w14:textId="77777777" w:rsidR="006B42D9" w:rsidRDefault="00E94686">
      <w:pPr>
        <w:spacing w:before="90" w:after="90"/>
      </w:pPr>
      <w:r>
        <w:rPr>
          <w:b/>
        </w:rPr>
        <w:t>Vai projekts skar šo jomu?</w:t>
      </w:r>
    </w:p>
    <w:p w14:paraId="32D9917F" w14:textId="77777777" w:rsidR="006B42D9" w:rsidRDefault="00E94686">
      <w:r>
        <w:t>Nē</w:t>
      </w:r>
    </w:p>
    <w:p w14:paraId="5FAF84DC" w14:textId="77777777" w:rsidR="006B42D9" w:rsidRDefault="00E94686">
      <w:pPr>
        <w:spacing w:before="270" w:after="180"/>
      </w:pPr>
      <w:r>
        <w:rPr>
          <w:b/>
          <w:sz w:val="30"/>
        </w:rPr>
        <w:t>8.1.12. uz cilvēktiesībām, demokrātiskām vērtībām un pilsoniskās sabiedrības attīstību</w:t>
      </w:r>
    </w:p>
    <w:p w14:paraId="6B88CFF3" w14:textId="77777777" w:rsidR="006B42D9" w:rsidRDefault="00E94686">
      <w:pPr>
        <w:spacing w:before="90" w:after="90"/>
      </w:pPr>
      <w:r>
        <w:rPr>
          <w:b/>
        </w:rPr>
        <w:t>Vai projekts skar šo jomu?</w:t>
      </w:r>
    </w:p>
    <w:p w14:paraId="7A9E89EC" w14:textId="77777777" w:rsidR="006B42D9" w:rsidRDefault="00E94686">
      <w:r>
        <w:t>Nē</w:t>
      </w:r>
    </w:p>
    <w:p w14:paraId="2F1E0B43" w14:textId="77777777" w:rsidR="006B42D9" w:rsidRDefault="00E94686">
      <w:pPr>
        <w:spacing w:before="270" w:after="180"/>
      </w:pPr>
      <w:r>
        <w:rPr>
          <w:b/>
          <w:sz w:val="30"/>
        </w:rPr>
        <w:t>8.1.13. uz datu aizsardzību</w:t>
      </w:r>
    </w:p>
    <w:p w14:paraId="2EA2CBCD" w14:textId="77777777" w:rsidR="006B42D9" w:rsidRDefault="00E94686">
      <w:pPr>
        <w:spacing w:before="90" w:after="90"/>
      </w:pPr>
      <w:r>
        <w:rPr>
          <w:b/>
        </w:rPr>
        <w:t>Vai projekts skar šo jomu?</w:t>
      </w:r>
    </w:p>
    <w:p w14:paraId="367155BC" w14:textId="77777777" w:rsidR="006B42D9" w:rsidRDefault="00E94686">
      <w:r>
        <w:t>Jā</w:t>
      </w:r>
    </w:p>
    <w:p w14:paraId="34F2D41B" w14:textId="77777777" w:rsidR="006B42D9" w:rsidRDefault="00E94686">
      <w:pPr>
        <w:spacing w:before="90" w:after="90"/>
      </w:pPr>
      <w:r>
        <w:rPr>
          <w:b/>
        </w:rPr>
        <w:t>Apraksts</w:t>
      </w:r>
    </w:p>
    <w:p w14:paraId="62BFDC3C" w14:textId="67505A93" w:rsidR="006B42D9" w:rsidRDefault="00E94686">
      <w:r w:rsidRPr="00280378">
        <w:t>Fizisko personu jeb 4.3.4.</w:t>
      </w:r>
      <w:r w:rsidR="005076E8" w:rsidRPr="00280378">
        <w:t>9</w:t>
      </w:r>
      <w:r w:rsidRPr="00280378">
        <w:t>. pasākuma mērķa grupas</w:t>
      </w:r>
      <w:r w:rsidR="005076E8" w:rsidRPr="00280378">
        <w:t xml:space="preserve"> personu, kas tiks iesaistītas</w:t>
      </w:r>
      <w:r w:rsidRPr="00280378">
        <w:t xml:space="preserve"> </w:t>
      </w:r>
      <w:r w:rsidR="005076E8" w:rsidRPr="00280378">
        <w:t xml:space="preserve">pasākuma </w:t>
      </w:r>
      <w:r w:rsidRPr="00280378">
        <w:t xml:space="preserve">ietvaros, datu apstrāde tiks veikta atbilstoši Eiropas Parlamenta un Padomes </w:t>
      </w:r>
      <w:proofErr w:type="gramStart"/>
      <w:r w:rsidRPr="00280378">
        <w:t>2016.gada</w:t>
      </w:r>
      <w:proofErr w:type="gramEnd"/>
      <w:r w:rsidRPr="00280378">
        <w:t xml:space="preserve"> 27.aprīļa Regulas 2016/679 par fizisku personu aizsardzību attiecībā uz personas datu apstrādi un šādu datu brīvu apriti un ar ko atceļ Direktīvu 95/46/EK (Vispārīgā datu aizsardzības regula) un Fizisko personu datu apstrādes likuma prasībām. Atbilstoši minētās regulas un Fizisko personu datu apstrādes likuma prasībām tiks ievēroti personas datu apstrādes principi un datu apstrādes likumīgums. Uzkrātie dati par projekta dalībniekiem tiks iesniegti Eiropas Komisijā.</w:t>
      </w:r>
    </w:p>
    <w:p w14:paraId="7570CE1F" w14:textId="77777777" w:rsidR="006B42D9" w:rsidRDefault="00E94686">
      <w:pPr>
        <w:spacing w:before="270" w:after="180"/>
      </w:pPr>
      <w:r>
        <w:rPr>
          <w:b/>
          <w:sz w:val="30"/>
        </w:rPr>
        <w:t>8.1.14. uz diasporu</w:t>
      </w:r>
    </w:p>
    <w:p w14:paraId="03A083C9" w14:textId="77777777" w:rsidR="006B42D9" w:rsidRDefault="00E94686">
      <w:pPr>
        <w:spacing w:before="90" w:after="90"/>
      </w:pPr>
      <w:r>
        <w:rPr>
          <w:b/>
        </w:rPr>
        <w:t>Vai projekts skar šo jomu?</w:t>
      </w:r>
    </w:p>
    <w:p w14:paraId="3FEC67B3" w14:textId="77777777" w:rsidR="006B42D9" w:rsidRDefault="00E94686">
      <w:r>
        <w:t>Nē</w:t>
      </w:r>
    </w:p>
    <w:p w14:paraId="6B5301E9" w14:textId="77777777" w:rsidR="006B42D9" w:rsidRDefault="00E94686">
      <w:pPr>
        <w:spacing w:before="270" w:after="180"/>
      </w:pPr>
      <w:r>
        <w:rPr>
          <w:b/>
          <w:sz w:val="30"/>
        </w:rPr>
        <w:t>8.1.15. uz profesiju reglamentāciju</w:t>
      </w:r>
    </w:p>
    <w:p w14:paraId="6A7D3736" w14:textId="77777777" w:rsidR="006B42D9" w:rsidRDefault="00E94686">
      <w:pPr>
        <w:spacing w:before="90" w:after="90"/>
      </w:pPr>
      <w:r>
        <w:rPr>
          <w:b/>
        </w:rPr>
        <w:t>Vai projekts skar šo jomu?</w:t>
      </w:r>
    </w:p>
    <w:p w14:paraId="60BBFE4A" w14:textId="77777777" w:rsidR="006B42D9" w:rsidRDefault="00E94686">
      <w:r>
        <w:t>Nē</w:t>
      </w:r>
    </w:p>
    <w:p w14:paraId="27173766" w14:textId="77777777" w:rsidR="006B42D9" w:rsidRDefault="00E94686">
      <w:pPr>
        <w:spacing w:before="270" w:after="180"/>
      </w:pPr>
      <w:r>
        <w:rPr>
          <w:b/>
          <w:sz w:val="30"/>
        </w:rPr>
        <w:t>8.1.16. uz bērna labākajām interesēm</w:t>
      </w:r>
    </w:p>
    <w:p w14:paraId="40B507B7" w14:textId="77777777" w:rsidR="006B42D9" w:rsidRDefault="00E94686">
      <w:pPr>
        <w:spacing w:before="90" w:after="90"/>
      </w:pPr>
      <w:r>
        <w:rPr>
          <w:b/>
        </w:rPr>
        <w:t>Vai projekts skar šo jomu?</w:t>
      </w:r>
    </w:p>
    <w:p w14:paraId="7BF5D224" w14:textId="77777777" w:rsidR="006B42D9" w:rsidRDefault="00E94686">
      <w:r>
        <w:t>Nē</w:t>
      </w:r>
    </w:p>
    <w:p w14:paraId="208BA70A" w14:textId="77777777" w:rsidR="006B42D9" w:rsidRDefault="00E94686">
      <w:pPr>
        <w:spacing w:before="270" w:after="180"/>
      </w:pPr>
      <w:r>
        <w:rPr>
          <w:b/>
          <w:sz w:val="30"/>
        </w:rPr>
        <w:t>8.2. Cita informācija</w:t>
      </w:r>
    </w:p>
    <w:p w14:paraId="2893FD21" w14:textId="77777777" w:rsidR="006B42D9" w:rsidRDefault="00E94686">
      <w:pPr>
        <w:spacing w:before="90" w:after="90"/>
      </w:pPr>
      <w:r>
        <w:rPr>
          <w:b/>
        </w:rPr>
        <w:lastRenderedPageBreak/>
        <w:t>Cita informācija</w:t>
      </w:r>
    </w:p>
    <w:p w14:paraId="75ABDB97" w14:textId="581DE04D" w:rsidR="006B42D9" w:rsidRDefault="00E94686">
      <w:r w:rsidRPr="00280378">
        <w:t>4.3.4.</w:t>
      </w:r>
      <w:r w:rsidR="00E377FF" w:rsidRPr="00280378">
        <w:t>9</w:t>
      </w:r>
      <w:r w:rsidRPr="00280378">
        <w:t>. pasākumam ir tieša ietekme uz horizontālo principu “Vienlīdzība, iekļaušana, nediskriminācija un pamattiesību ievērošana”. 4.3.4.</w:t>
      </w:r>
      <w:r w:rsidR="00E377FF" w:rsidRPr="00280378">
        <w:t>9</w:t>
      </w:r>
      <w:r w:rsidRPr="00280378">
        <w:t xml:space="preserve">. pasākuma </w:t>
      </w:r>
      <w:r w:rsidR="00E377FF" w:rsidRPr="00280378">
        <w:t xml:space="preserve">ietvaros atbalsts ir plānots Latvijas nevalstiskajām organizācijām, lai nodrošinātu to efektīvu un ilgtspējīgu darbību, izmantojot un attīstot reģionālo nevalstisko organizāciju atbalsta centru potenciālu, </w:t>
      </w:r>
      <w:proofErr w:type="gramStart"/>
      <w:r w:rsidR="00E377FF" w:rsidRPr="00280378">
        <w:t>ar mērķi attīstīt</w:t>
      </w:r>
      <w:proofErr w:type="gramEnd"/>
      <w:r w:rsidR="00E377FF" w:rsidRPr="00280378">
        <w:t xml:space="preserve"> aktīvas un iekļaujošas līdzdalības tradīcijas, it īpaši vēršot uzmanību tādu risinājumu attīstībai, kas veicina mazaizsargātu vai sociālās atstumtības riskam pakļautu iedzīvotāju līdzdalību.</w:t>
      </w:r>
    </w:p>
    <w:p w14:paraId="5C8792F6" w14:textId="77777777" w:rsidR="00E377FF" w:rsidRDefault="00E377FF"/>
    <w:p w14:paraId="5D142617" w14:textId="1A512831" w:rsidR="006B42D9" w:rsidRDefault="00E94686">
      <w:r>
        <w:t>Pasākumam nav ietekme</w:t>
      </w:r>
      <w:r w:rsidR="00B234CF">
        <w:t>s</w:t>
      </w:r>
      <w:r>
        <w:t xml:space="preserve"> uz horizontālo principu “</w:t>
      </w:r>
      <w:proofErr w:type="spellStart"/>
      <w:r>
        <w:t>Klimatdrošināšana</w:t>
      </w:r>
      <w:proofErr w:type="spellEnd"/>
      <w:r>
        <w:t>”, “Energoefektivitāte pirmajā vietā” un “Nenodarīt būtisku kaitējumu” īstenošanu. </w:t>
      </w:r>
    </w:p>
    <w:p w14:paraId="69063278" w14:textId="77777777" w:rsidR="006B42D9" w:rsidRDefault="00E94686">
      <w:r>
        <w:t> </w:t>
      </w:r>
    </w:p>
    <w:p w14:paraId="2DCB17F0" w14:textId="603B71B5" w:rsidR="006B42D9" w:rsidRDefault="00E94686">
      <w:r w:rsidRPr="00280378">
        <w:t>4.3.4.</w:t>
      </w:r>
      <w:r w:rsidR="00170138" w:rsidRPr="00280378">
        <w:t>9</w:t>
      </w:r>
      <w:r w:rsidRPr="00280378">
        <w:t>. pasākuma ietvaros informatīvo materiālu saturs tiks veidots, ievērojot dzimumu līdztiesības un nediskriminācijas principus, īpašu uzmanību veltot sabiedrībā valdošo stereotipu par dzimumu lomu sadalījumu, vecumu, invaliditāti, etnisko piederību u.c. pazīmēm izskaušanai un</w:t>
      </w:r>
      <w:proofErr w:type="gramStart"/>
      <w:r w:rsidRPr="00280378">
        <w:t xml:space="preserve"> nepieļaujot stereotipiskus attēlojumus informatīvajos materiālos, līdz ar to kopumā</w:t>
      </w:r>
      <w:proofErr w:type="gramEnd"/>
      <w:r w:rsidRPr="00280378">
        <w:t xml:space="preserve"> 4.3.4.</w:t>
      </w:r>
      <w:r w:rsidR="00170138" w:rsidRPr="00280378">
        <w:t>9</w:t>
      </w:r>
      <w:r w:rsidRPr="00280378">
        <w:t>. pasākums sniegs ieguldījumu dzimumu līdztiesības principa kā Eiropas Savienības stratēģijā Baltijas jūras reģionam caurvijoša principa īstenošanā.</w:t>
      </w:r>
      <w:r>
        <w:t> </w:t>
      </w:r>
    </w:p>
    <w:sectPr w:rsidR="006B42D9">
      <w:footerReference w:type="default" r:id="rId8"/>
      <w:footerReference w:type="first" r:id="rId9"/>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692D" w14:textId="77777777" w:rsidR="003056C2" w:rsidRDefault="003056C2">
      <w:r>
        <w:separator/>
      </w:r>
    </w:p>
  </w:endnote>
  <w:endnote w:type="continuationSeparator" w:id="0">
    <w:p w14:paraId="1FF0445E" w14:textId="77777777" w:rsidR="003056C2" w:rsidRDefault="0030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313108"/>
      <w:docPartObj>
        <w:docPartGallery w:val="Page Numbers (Bottom of Page)"/>
        <w:docPartUnique/>
      </w:docPartObj>
    </w:sdtPr>
    <w:sdtEndPr/>
    <w:sdtContent>
      <w:p w14:paraId="3A389BCF" w14:textId="2352234C" w:rsidR="003056C2" w:rsidRDefault="003056C2">
        <w:pPr>
          <w:pStyle w:val="Kjene"/>
          <w:jc w:val="right"/>
        </w:pPr>
        <w:r>
          <w:fldChar w:fldCharType="begin"/>
        </w:r>
        <w:r>
          <w:instrText>PAGE   \* MERGEFORMAT</w:instrText>
        </w:r>
        <w:r>
          <w:fldChar w:fldCharType="separate"/>
        </w:r>
        <w:r>
          <w:t>2</w:t>
        </w:r>
        <w:r>
          <w:fldChar w:fldCharType="end"/>
        </w:r>
      </w:p>
    </w:sdtContent>
  </w:sdt>
  <w:p w14:paraId="2331F8F6" w14:textId="578A3D71" w:rsidR="003056C2" w:rsidRPr="00230883" w:rsidRDefault="003056C2" w:rsidP="00B57EE9">
    <w:pPr>
      <w:rPr>
        <w:sz w:val="20"/>
      </w:rPr>
    </w:pPr>
    <w:r w:rsidRPr="00230883">
      <w:rPr>
        <w:sz w:val="20"/>
      </w:rPr>
      <w:t>Informativi_KMAnot_4349_</w:t>
    </w:r>
    <w:r w:rsidR="00977042">
      <w:rPr>
        <w:sz w:val="20"/>
      </w:rPr>
      <w:t>1605</w:t>
    </w:r>
    <w:r w:rsidRPr="00230883">
      <w:rPr>
        <w:sz w:val="20"/>
      </w:rPr>
      <w:t>24</w:t>
    </w:r>
    <w:r w:rsidRPr="00230883">
      <w:rPr>
        <w:sz w:val="20"/>
      </w:rPr>
      <w:cr/>
    </w:r>
  </w:p>
  <w:p w14:paraId="764EFA57" w14:textId="5B05B6B0" w:rsidR="003056C2" w:rsidRPr="00230883" w:rsidRDefault="003056C2" w:rsidP="0023088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6604" w14:textId="77777777" w:rsidR="003056C2" w:rsidRDefault="003056C2">
    <w:pPr>
      <w:rPr>
        <w:sz w:val="20"/>
      </w:rPr>
    </w:pPr>
  </w:p>
  <w:p w14:paraId="0FA4D920" w14:textId="6B9B8D5D" w:rsidR="003056C2" w:rsidRPr="00230883" w:rsidRDefault="003056C2">
    <w:pPr>
      <w:rPr>
        <w:sz w:val="20"/>
      </w:rPr>
    </w:pPr>
    <w:r w:rsidRPr="00230883">
      <w:rPr>
        <w:sz w:val="20"/>
      </w:rPr>
      <w:t>Informativi_KMAnot_4349_</w:t>
    </w:r>
    <w:r w:rsidR="00977042">
      <w:rPr>
        <w:sz w:val="20"/>
      </w:rPr>
      <w:t>1605</w:t>
    </w:r>
    <w:r w:rsidRPr="00230883">
      <w:rPr>
        <w:sz w:val="20"/>
      </w:rPr>
      <w:t>24</w:t>
    </w:r>
    <w:r w:rsidRPr="00230883">
      <w:rPr>
        <w:sz w:val="20"/>
      </w:rP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0CB4" w14:textId="77777777" w:rsidR="003056C2" w:rsidRDefault="003056C2">
      <w:r>
        <w:separator/>
      </w:r>
    </w:p>
  </w:footnote>
  <w:footnote w:type="continuationSeparator" w:id="0">
    <w:p w14:paraId="45AA6313" w14:textId="77777777" w:rsidR="003056C2" w:rsidRDefault="00305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76F"/>
    <w:multiLevelType w:val="hybridMultilevel"/>
    <w:tmpl w:val="6DF26F28"/>
    <w:lvl w:ilvl="0" w:tplc="76925618">
      <w:start w:val="1"/>
      <w:numFmt w:val="bullet"/>
      <w:lvlText w:val="-"/>
      <w:lvlJc w:val="left"/>
      <w:pPr>
        <w:ind w:left="927" w:hanging="360"/>
      </w:pPr>
      <w:rPr>
        <w:rFonts w:ascii="Times New Roman" w:eastAsia="Times New Roman" w:hAnsi="Times New Roman" w:cs="Times New Roman"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188A0A1A"/>
    <w:multiLevelType w:val="hybridMultilevel"/>
    <w:tmpl w:val="CC6CE2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2E6536"/>
    <w:multiLevelType w:val="hybridMultilevel"/>
    <w:tmpl w:val="D60AFE8E"/>
    <w:lvl w:ilvl="0" w:tplc="0426000F">
      <w:start w:val="1"/>
      <w:numFmt w:val="decimal"/>
      <w:lvlText w:val="%1."/>
      <w:lvlJc w:val="left"/>
      <w:pPr>
        <w:ind w:left="0" w:firstLine="705"/>
      </w:pPr>
      <w:rPr>
        <w:u w:val="none"/>
      </w:rPr>
    </w:lvl>
    <w:lvl w:ilvl="1" w:tplc="1F2AEF1C">
      <w:start w:val="1"/>
      <w:numFmt w:val="bullet"/>
      <w:lvlRestart w:val="0"/>
      <w:lvlText w:val=""/>
      <w:lvlJc w:val="left"/>
      <w:pPr>
        <w:ind w:left="0" w:firstLine="705"/>
      </w:pPr>
      <w:rPr>
        <w:u w:val="none"/>
      </w:rPr>
    </w:lvl>
    <w:lvl w:ilvl="2" w:tplc="89A8547C">
      <w:numFmt w:val="decimal"/>
      <w:lvlText w:val=""/>
      <w:lvlJc w:val="left"/>
    </w:lvl>
    <w:lvl w:ilvl="3" w:tplc="AB8A547A">
      <w:numFmt w:val="decimal"/>
      <w:lvlText w:val=""/>
      <w:lvlJc w:val="left"/>
    </w:lvl>
    <w:lvl w:ilvl="4" w:tplc="3F0035DA">
      <w:numFmt w:val="decimal"/>
      <w:lvlText w:val=""/>
      <w:lvlJc w:val="left"/>
    </w:lvl>
    <w:lvl w:ilvl="5" w:tplc="6CF8D748">
      <w:numFmt w:val="decimal"/>
      <w:lvlText w:val=""/>
      <w:lvlJc w:val="left"/>
    </w:lvl>
    <w:lvl w:ilvl="6" w:tplc="8278AC04">
      <w:numFmt w:val="decimal"/>
      <w:lvlText w:val=""/>
      <w:lvlJc w:val="left"/>
    </w:lvl>
    <w:lvl w:ilvl="7" w:tplc="91E2071E">
      <w:numFmt w:val="decimal"/>
      <w:lvlText w:val=""/>
      <w:lvlJc w:val="left"/>
    </w:lvl>
    <w:lvl w:ilvl="8" w:tplc="5394D6D6">
      <w:numFmt w:val="decimal"/>
      <w:lvlText w:val=""/>
      <w:lvlJc w:val="left"/>
    </w:lvl>
  </w:abstractNum>
  <w:abstractNum w:abstractNumId="3" w15:restartNumberingAfterBreak="0">
    <w:nsid w:val="69A82794"/>
    <w:multiLevelType w:val="hybridMultilevel"/>
    <w:tmpl w:val="B63A4E26"/>
    <w:lvl w:ilvl="0" w:tplc="364C905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354C26"/>
    <w:multiLevelType w:val="hybridMultilevel"/>
    <w:tmpl w:val="03008E78"/>
    <w:lvl w:ilvl="0" w:tplc="07FA55C2">
      <w:start w:val="1"/>
      <w:numFmt w:val="bullet"/>
      <w:lvlRestart w:val="0"/>
      <w:lvlText w:val=""/>
      <w:lvlJc w:val="left"/>
      <w:pPr>
        <w:ind w:left="0" w:firstLine="705"/>
      </w:pPr>
      <w:rPr>
        <w:u w:val="none"/>
      </w:rPr>
    </w:lvl>
    <w:lvl w:ilvl="1" w:tplc="893C4FF6">
      <w:start w:val="1"/>
      <w:numFmt w:val="bullet"/>
      <w:lvlRestart w:val="0"/>
      <w:lvlText w:val=""/>
      <w:lvlJc w:val="left"/>
      <w:pPr>
        <w:ind w:left="0" w:firstLine="705"/>
      </w:pPr>
      <w:rPr>
        <w:u w:val="none"/>
      </w:rPr>
    </w:lvl>
    <w:lvl w:ilvl="2" w:tplc="E86C1574">
      <w:start w:val="1"/>
      <w:numFmt w:val="bullet"/>
      <w:lvlRestart w:val="1"/>
      <w:lvlText w:val=""/>
      <w:lvlJc w:val="left"/>
      <w:pPr>
        <w:ind w:left="0" w:firstLine="705"/>
      </w:pPr>
      <w:rPr>
        <w:u w:val="none"/>
      </w:rPr>
    </w:lvl>
    <w:lvl w:ilvl="3" w:tplc="707A6A56">
      <w:numFmt w:val="decimal"/>
      <w:lvlText w:val=""/>
      <w:lvlJc w:val="left"/>
    </w:lvl>
    <w:lvl w:ilvl="4" w:tplc="D332D3F4">
      <w:numFmt w:val="decimal"/>
      <w:lvlText w:val=""/>
      <w:lvlJc w:val="left"/>
    </w:lvl>
    <w:lvl w:ilvl="5" w:tplc="F48E70AA">
      <w:numFmt w:val="decimal"/>
      <w:lvlText w:val=""/>
      <w:lvlJc w:val="left"/>
    </w:lvl>
    <w:lvl w:ilvl="6" w:tplc="9E12C1D6">
      <w:numFmt w:val="decimal"/>
      <w:lvlText w:val=""/>
      <w:lvlJc w:val="left"/>
    </w:lvl>
    <w:lvl w:ilvl="7" w:tplc="D1D45A0E">
      <w:numFmt w:val="decimal"/>
      <w:lvlText w:val=""/>
      <w:lvlJc w:val="left"/>
    </w:lvl>
    <w:lvl w:ilvl="8" w:tplc="34365246">
      <w:numFmt w:val="decimal"/>
      <w:lvlText w:val=""/>
      <w:lvlJc w:val="left"/>
    </w:lvl>
  </w:abstractNum>
  <w:num w:numId="1" w16cid:durableId="634069112">
    <w:abstractNumId w:val="4"/>
  </w:num>
  <w:num w:numId="2" w16cid:durableId="1462066243">
    <w:abstractNumId w:val="2"/>
  </w:num>
  <w:num w:numId="3" w16cid:durableId="372732617">
    <w:abstractNumId w:val="1"/>
  </w:num>
  <w:num w:numId="4" w16cid:durableId="1617907763">
    <w:abstractNumId w:val="3"/>
  </w:num>
  <w:num w:numId="5" w16cid:durableId="59278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D9"/>
    <w:rsid w:val="0001136C"/>
    <w:rsid w:val="00012757"/>
    <w:rsid w:val="00012AE7"/>
    <w:rsid w:val="00014257"/>
    <w:rsid w:val="00071066"/>
    <w:rsid w:val="000728DD"/>
    <w:rsid w:val="00086055"/>
    <w:rsid w:val="0013186A"/>
    <w:rsid w:val="00145793"/>
    <w:rsid w:val="00170138"/>
    <w:rsid w:val="00190176"/>
    <w:rsid w:val="001B0B83"/>
    <w:rsid w:val="001B4674"/>
    <w:rsid w:val="001B7DA4"/>
    <w:rsid w:val="001C27B4"/>
    <w:rsid w:val="001E3B01"/>
    <w:rsid w:val="00230883"/>
    <w:rsid w:val="00234061"/>
    <w:rsid w:val="00243507"/>
    <w:rsid w:val="00280378"/>
    <w:rsid w:val="00284F30"/>
    <w:rsid w:val="00290B7B"/>
    <w:rsid w:val="002958B8"/>
    <w:rsid w:val="003056C2"/>
    <w:rsid w:val="00311813"/>
    <w:rsid w:val="0033539F"/>
    <w:rsid w:val="003E7A17"/>
    <w:rsid w:val="00434B58"/>
    <w:rsid w:val="00437D69"/>
    <w:rsid w:val="00465C85"/>
    <w:rsid w:val="00475F18"/>
    <w:rsid w:val="004C2209"/>
    <w:rsid w:val="004F384A"/>
    <w:rsid w:val="005076E8"/>
    <w:rsid w:val="005F6924"/>
    <w:rsid w:val="00601813"/>
    <w:rsid w:val="00621E68"/>
    <w:rsid w:val="00627ADB"/>
    <w:rsid w:val="006B42D9"/>
    <w:rsid w:val="006F0D25"/>
    <w:rsid w:val="00713469"/>
    <w:rsid w:val="0075767F"/>
    <w:rsid w:val="007B3B8B"/>
    <w:rsid w:val="007D61B9"/>
    <w:rsid w:val="008215BB"/>
    <w:rsid w:val="00830DDF"/>
    <w:rsid w:val="0083773A"/>
    <w:rsid w:val="00843850"/>
    <w:rsid w:val="00882426"/>
    <w:rsid w:val="00896A09"/>
    <w:rsid w:val="008C33C6"/>
    <w:rsid w:val="008D6D3E"/>
    <w:rsid w:val="008E3FBC"/>
    <w:rsid w:val="00911D73"/>
    <w:rsid w:val="0091337E"/>
    <w:rsid w:val="00931638"/>
    <w:rsid w:val="00951E0D"/>
    <w:rsid w:val="0095592D"/>
    <w:rsid w:val="00977042"/>
    <w:rsid w:val="009C7517"/>
    <w:rsid w:val="009E44E4"/>
    <w:rsid w:val="00A32DBE"/>
    <w:rsid w:val="00A32E31"/>
    <w:rsid w:val="00A35454"/>
    <w:rsid w:val="00A579DC"/>
    <w:rsid w:val="00A95DAD"/>
    <w:rsid w:val="00AB0F77"/>
    <w:rsid w:val="00AD2E6F"/>
    <w:rsid w:val="00B234CF"/>
    <w:rsid w:val="00B57EE9"/>
    <w:rsid w:val="00BB03CD"/>
    <w:rsid w:val="00BB0AF5"/>
    <w:rsid w:val="00BB3D12"/>
    <w:rsid w:val="00C0100E"/>
    <w:rsid w:val="00C45E95"/>
    <w:rsid w:val="00C51168"/>
    <w:rsid w:val="00C63C5F"/>
    <w:rsid w:val="00C844E5"/>
    <w:rsid w:val="00CA0B67"/>
    <w:rsid w:val="00CA46A3"/>
    <w:rsid w:val="00CB4E08"/>
    <w:rsid w:val="00CD1273"/>
    <w:rsid w:val="00CE613C"/>
    <w:rsid w:val="00D56E64"/>
    <w:rsid w:val="00D84213"/>
    <w:rsid w:val="00DB7730"/>
    <w:rsid w:val="00E21CCB"/>
    <w:rsid w:val="00E377FF"/>
    <w:rsid w:val="00E71E72"/>
    <w:rsid w:val="00E93386"/>
    <w:rsid w:val="00E94686"/>
    <w:rsid w:val="00EB5159"/>
    <w:rsid w:val="00ED239F"/>
    <w:rsid w:val="00F07540"/>
    <w:rsid w:val="00F376C4"/>
    <w:rsid w:val="00F809EB"/>
    <w:rsid w:val="00FA741B"/>
    <w:rsid w:val="00FB5256"/>
    <w:rsid w:val="00FD41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EE6A1"/>
  <w15:docId w15:val="{8EB9E57C-0177-4926-B0AD-313CD81F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spacing w:after="120"/>
      <w:contextualSpacing/>
      <w:outlineLvl w:val="0"/>
    </w:pPr>
    <w:rPr>
      <w:rFonts w:ascii="Palatino" w:eastAsia="Palatino" w:hAnsi="Palatino" w:cs="Palatino"/>
      <w:sz w:val="36"/>
    </w:rPr>
  </w:style>
  <w:style w:type="paragraph" w:styleId="Virsraksts2">
    <w:name w:val="heading 2"/>
    <w:basedOn w:val="Parasts"/>
    <w:next w:val="Parasts"/>
    <w:uiPriority w:val="9"/>
    <w:semiHidden/>
    <w:unhideWhenUsed/>
    <w:qFormat/>
    <w:pPr>
      <w:spacing w:before="120" w:after="160"/>
      <w:contextualSpacing/>
      <w:outlineLvl w:val="1"/>
    </w:pPr>
    <w:rPr>
      <w:rFonts w:ascii="Arial" w:eastAsia="Arial" w:hAnsi="Arial" w:cs="Arial"/>
      <w:b/>
      <w:sz w:val="26"/>
    </w:rPr>
  </w:style>
  <w:style w:type="paragraph" w:styleId="Virsraksts3">
    <w:name w:val="heading 3"/>
    <w:basedOn w:val="Parasts"/>
    <w:next w:val="Parasts"/>
    <w:uiPriority w:val="9"/>
    <w:semiHidden/>
    <w:unhideWhenUsed/>
    <w:qFormat/>
    <w:pPr>
      <w:spacing w:before="120" w:after="160"/>
      <w:contextualSpacing/>
      <w:outlineLvl w:val="2"/>
    </w:pPr>
    <w:rPr>
      <w:rFonts w:ascii="Arial" w:eastAsia="Arial" w:hAnsi="Arial" w:cs="Arial"/>
      <w:b/>
      <w:i/>
      <w:color w:val="666666"/>
      <w:sz w:val="24"/>
    </w:rPr>
  </w:style>
  <w:style w:type="paragraph" w:styleId="Virsraksts4">
    <w:name w:val="heading 4"/>
    <w:basedOn w:val="Parasts"/>
    <w:next w:val="Parasts"/>
    <w:uiPriority w:val="9"/>
    <w:semiHidden/>
    <w:unhideWhenUsed/>
    <w:qFormat/>
    <w:pPr>
      <w:spacing w:before="120" w:after="120"/>
      <w:contextualSpacing/>
      <w:outlineLvl w:val="3"/>
    </w:pPr>
    <w:rPr>
      <w:rFonts w:ascii="Palatino" w:eastAsia="Palatino" w:hAnsi="Palatino" w:cs="Palatino"/>
      <w:b/>
      <w:sz w:val="24"/>
    </w:rPr>
  </w:style>
  <w:style w:type="paragraph" w:styleId="Virsraksts5">
    <w:name w:val="heading 5"/>
    <w:basedOn w:val="Parasts"/>
    <w:next w:val="Parasts"/>
    <w:uiPriority w:val="9"/>
    <w:semiHidden/>
    <w:unhideWhenUsed/>
    <w:qFormat/>
    <w:pPr>
      <w:spacing w:before="120" w:after="120"/>
      <w:contextualSpacing/>
      <w:outlineLvl w:val="4"/>
    </w:pPr>
    <w:rPr>
      <w:rFonts w:ascii="Arial" w:eastAsia="Arial" w:hAnsi="Arial" w:cs="Arial"/>
      <w:b/>
      <w:sz w:val="22"/>
    </w:rPr>
  </w:style>
  <w:style w:type="paragraph" w:styleId="Virsraksts6">
    <w:name w:val="heading 6"/>
    <w:basedOn w:val="Parasts"/>
    <w:next w:val="Parasts"/>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pPr>
      <w:spacing w:line="644" w:lineRule="auto"/>
    </w:pPr>
    <w:tblPr>
      <w:tblCellMar>
        <w:top w:w="0" w:type="dxa"/>
        <w:left w:w="0" w:type="dxa"/>
        <w:bottom w:w="0" w:type="dxa"/>
        <w:right w:w="0" w:type="dxa"/>
      </w:tblCellMar>
    </w:tblPr>
  </w:style>
  <w:style w:type="paragraph" w:styleId="Nosaukums">
    <w:name w:val="Title"/>
    <w:basedOn w:val="Parasts"/>
    <w:next w:val="Parasts"/>
    <w:uiPriority w:val="10"/>
    <w:qFormat/>
    <w:pPr>
      <w:contextualSpacing/>
    </w:pPr>
    <w:rPr>
      <w:rFonts w:ascii="Palatino" w:eastAsia="Palatino" w:hAnsi="Palatino" w:cs="Palatino"/>
      <w:sz w:val="60"/>
    </w:rPr>
  </w:style>
  <w:style w:type="paragraph" w:styleId="Apakvirsraksts">
    <w:name w:val="Subtitle"/>
    <w:basedOn w:val="Parasts"/>
    <w:next w:val="Parasts"/>
    <w:uiPriority w:val="11"/>
    <w:qFormat/>
    <w:pPr>
      <w:spacing w:before="60"/>
      <w:contextualSpacing/>
    </w:pPr>
    <w:rPr>
      <w:rFonts w:ascii="Arial" w:eastAsia="Arial" w:hAnsi="Arial" w:cs="Arial"/>
    </w:rPr>
  </w:style>
  <w:style w:type="paragraph" w:customStyle="1" w:styleId="paragraph">
    <w:name w:val="paragraph"/>
    <w:basedOn w:val="Parasts"/>
    <w:next w:val="Parasts"/>
    <w:pPr>
      <w:contextualSpacing/>
    </w:pPr>
  </w:style>
  <w:style w:type="paragraph" w:customStyle="1" w:styleId="paragraphheader">
    <w:name w:val="paragraph_header"/>
    <w:basedOn w:val="Parasts"/>
    <w:next w:val="Parasts"/>
    <w:pPr>
      <w:spacing w:before="280" w:after="280"/>
      <w:contextualSpacing/>
    </w:pPr>
  </w:style>
  <w:style w:type="paragraph" w:styleId="Galvene">
    <w:name w:val="header"/>
    <w:basedOn w:val="Parasts"/>
    <w:next w:val="Parasts"/>
    <w:pPr>
      <w:spacing w:after="280"/>
      <w:contextualSpacing/>
      <w:jc w:val="right"/>
    </w:pPr>
    <w:rPr>
      <w:sz w:val="24"/>
    </w:rPr>
  </w:style>
  <w:style w:type="paragraph" w:customStyle="1" w:styleId="signeddocumentparagraph">
    <w:name w:val="signed_document_paragraph"/>
    <w:basedOn w:val="Parasts"/>
    <w:next w:val="Parasts"/>
    <w:pPr>
      <w:contextualSpacing/>
      <w:jc w:val="right"/>
    </w:pPr>
    <w:rPr>
      <w:sz w:val="24"/>
    </w:rPr>
  </w:style>
  <w:style w:type="paragraph" w:customStyle="1" w:styleId="boldparagraphheader">
    <w:name w:val="bold_paragraph_header"/>
    <w:basedOn w:val="Parasts"/>
    <w:next w:val="Parasts"/>
    <w:pPr>
      <w:contextualSpacing/>
      <w:jc w:val="center"/>
    </w:pPr>
    <w:rPr>
      <w:b/>
    </w:rPr>
  </w:style>
  <w:style w:type="table" w:customStyle="1" w:styleId="a">
    <w:basedOn w:val="TableNormal"/>
    <w:tblPr>
      <w:tblStyleRowBandSize w:val="1"/>
      <w:tblStyleColBandSize w:val="1"/>
    </w:tblPr>
  </w:style>
  <w:style w:type="paragraph" w:styleId="Kjene">
    <w:name w:val="footer"/>
    <w:basedOn w:val="Parasts"/>
    <w:link w:val="KjeneRakstz"/>
    <w:uiPriority w:val="99"/>
    <w:unhideWhenUsed/>
    <w:rsid w:val="00F809EB"/>
    <w:pPr>
      <w:tabs>
        <w:tab w:val="center" w:pos="4153"/>
        <w:tab w:val="right" w:pos="8306"/>
      </w:tabs>
    </w:pPr>
  </w:style>
  <w:style w:type="character" w:customStyle="1" w:styleId="KjeneRakstz">
    <w:name w:val="Kājene Rakstz."/>
    <w:basedOn w:val="Noklusjumarindkopasfonts"/>
    <w:link w:val="Kjene"/>
    <w:uiPriority w:val="99"/>
    <w:rsid w:val="00F809EB"/>
  </w:style>
  <w:style w:type="paragraph" w:styleId="Vresteksts">
    <w:name w:val="footnote text"/>
    <w:basedOn w:val="Parasts"/>
    <w:link w:val="VrestekstsRakstz"/>
    <w:uiPriority w:val="99"/>
    <w:semiHidden/>
    <w:unhideWhenUsed/>
    <w:rsid w:val="001B4674"/>
    <w:rPr>
      <w:sz w:val="20"/>
    </w:rPr>
  </w:style>
  <w:style w:type="character" w:customStyle="1" w:styleId="VrestekstsRakstz">
    <w:name w:val="Vēres teksts Rakstz."/>
    <w:basedOn w:val="Noklusjumarindkopasfonts"/>
    <w:link w:val="Vresteksts"/>
    <w:uiPriority w:val="99"/>
    <w:semiHidden/>
    <w:rsid w:val="001B4674"/>
    <w:rPr>
      <w:sz w:val="20"/>
    </w:rPr>
  </w:style>
  <w:style w:type="character" w:styleId="Vresatsauce">
    <w:name w:val="footnote reference"/>
    <w:basedOn w:val="Noklusjumarindkopasfonts"/>
    <w:uiPriority w:val="99"/>
    <w:semiHidden/>
    <w:unhideWhenUsed/>
    <w:rsid w:val="001B4674"/>
    <w:rPr>
      <w:vertAlign w:val="superscript"/>
    </w:rPr>
  </w:style>
  <w:style w:type="character" w:styleId="Hipersaite">
    <w:name w:val="Hyperlink"/>
    <w:basedOn w:val="Noklusjumarindkopasfonts"/>
    <w:uiPriority w:val="99"/>
    <w:unhideWhenUsed/>
    <w:rsid w:val="001B4674"/>
    <w:rPr>
      <w:color w:val="0563C1" w:themeColor="hyperlink"/>
      <w:u w:val="single"/>
    </w:rPr>
  </w:style>
  <w:style w:type="character" w:styleId="Neatrisintapieminana">
    <w:name w:val="Unresolved Mention"/>
    <w:basedOn w:val="Noklusjumarindkopasfonts"/>
    <w:uiPriority w:val="99"/>
    <w:semiHidden/>
    <w:unhideWhenUsed/>
    <w:rsid w:val="001B4674"/>
    <w:rPr>
      <w:color w:val="605E5C"/>
      <w:shd w:val="clear" w:color="auto" w:fill="E1DFDD"/>
    </w:rPr>
  </w:style>
  <w:style w:type="paragraph" w:styleId="Prskatjums">
    <w:name w:val="Revision"/>
    <w:hidden/>
    <w:uiPriority w:val="99"/>
    <w:semiHidden/>
    <w:rsid w:val="00234061"/>
    <w:pPr>
      <w:jc w:val="left"/>
    </w:p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s"/>
    <w:link w:val="SarakstarindkopaRakstz"/>
    <w:uiPriority w:val="34"/>
    <w:qFormat/>
    <w:rsid w:val="00C51168"/>
    <w:pPr>
      <w:ind w:left="720"/>
      <w:contextualSpacing/>
      <w:jc w:val="left"/>
    </w:pPr>
    <w:rPr>
      <w:color w:val="auto"/>
      <w:sz w:val="24"/>
      <w:szCs w:val="24"/>
      <w:lang w:val="en-GB" w:eastAsia="en-US"/>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locked/>
    <w:rsid w:val="00C51168"/>
    <w:rPr>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2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9791-CE74-42F1-935D-B544F828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24</Pages>
  <Words>27407</Words>
  <Characters>15623</Characters>
  <Application>Microsoft Office Word</Application>
  <DocSecurity>0</DocSecurity>
  <Lines>130</Lines>
  <Paragraphs>85</Paragraphs>
  <ScaleCrop>false</ScaleCrop>
  <HeadingPairs>
    <vt:vector size="2" baseType="variant">
      <vt:variant>
        <vt:lpstr>Nosaukums</vt:lpstr>
      </vt:variant>
      <vt:variant>
        <vt:i4>1</vt:i4>
      </vt:variant>
    </vt:vector>
  </HeadingPairs>
  <TitlesOfParts>
    <vt:vector size="1" baseType="lpstr">
      <vt:lpstr>anotācija_(ex_ante)_23-TA-1407.docx</vt:lpstr>
    </vt:vector>
  </TitlesOfParts>
  <Company>Kultūras ministrija</Company>
  <LinksUpToDate>false</LinksUpToDate>
  <CharactersWithSpaces>42945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anotācija_(ex_ante)_23-TA-1407.docx</dc:title>
  <dc:creator>Andrelita Blusanoviča</dc:creator>
  <cp:lastModifiedBy>Andrelita Blusanoviča</cp:lastModifiedBy>
  <cp:revision>71</cp:revision>
  <dcterms:created xsi:type="dcterms:W3CDTF">2023-10-13T05:57:00Z</dcterms:created>
  <dcterms:modified xsi:type="dcterms:W3CDTF">2024-05-16T13:32:00Z</dcterms:modified>
</cp:coreProperties>
</file>