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3B64" w14:textId="1CA4C8A6" w:rsidR="00137F01" w:rsidRPr="00A57181" w:rsidRDefault="00137F01" w:rsidP="00137F01">
      <w:pPr>
        <w:pStyle w:val="Standard"/>
        <w:jc w:val="center"/>
        <w:rPr>
          <w:b/>
          <w:szCs w:val="24"/>
        </w:rPr>
      </w:pPr>
      <w:r w:rsidRPr="00A57181">
        <w:rPr>
          <w:b/>
          <w:szCs w:val="24"/>
        </w:rPr>
        <w:t>Izziņa ar saņemtajiem komentāriem par Eiropas Savienības fondu 2021.–</w:t>
      </w:r>
      <w:proofErr w:type="gramStart"/>
      <w:r w:rsidRPr="00A57181">
        <w:rPr>
          <w:b/>
          <w:szCs w:val="24"/>
        </w:rPr>
        <w:t>2027.gada</w:t>
      </w:r>
      <w:proofErr w:type="gramEnd"/>
      <w:r w:rsidRPr="00A57181">
        <w:rPr>
          <w:b/>
          <w:szCs w:val="24"/>
        </w:rPr>
        <w:t xml:space="preserve"> plānošanas perioda </w:t>
      </w:r>
    </w:p>
    <w:p w14:paraId="73B12ACC" w14:textId="04257862" w:rsidR="00137F01" w:rsidRPr="00A57181" w:rsidRDefault="00205426" w:rsidP="00A57181">
      <w:pPr>
        <w:pStyle w:val="Standard"/>
        <w:jc w:val="center"/>
        <w:rPr>
          <w:b/>
          <w:szCs w:val="24"/>
        </w:rPr>
      </w:pPr>
      <w:sdt>
        <w:sdtPr>
          <w:rPr>
            <w:b/>
            <w:szCs w:val="24"/>
          </w:rPr>
          <w:id w:val="-1016078257"/>
          <w:placeholder>
            <w:docPart w:val="DefaultPlaceholder_-1854013437"/>
          </w:placeholder>
          <w:date w:fullDate="2024-06-20T00:00:00Z">
            <w:dateFormat w:val="dd.MM.yyyy"/>
            <w:lid w:val="lv-LV"/>
            <w:storeMappedDataAs w:val="dateTime"/>
            <w:calendar w:val="gregorian"/>
          </w:date>
        </w:sdtPr>
        <w:sdtEndPr/>
        <w:sdtContent>
          <w:r w:rsidR="00941BB3">
            <w:rPr>
              <w:b/>
              <w:szCs w:val="24"/>
            </w:rPr>
            <w:t>20.06.2024</w:t>
          </w:r>
        </w:sdtContent>
      </w:sdt>
      <w:r w:rsidR="008B4943">
        <w:rPr>
          <w:b/>
          <w:szCs w:val="24"/>
        </w:rPr>
        <w:t xml:space="preserve">. </w:t>
      </w:r>
      <w:r w:rsidR="00137F01" w:rsidRPr="00A57181">
        <w:rPr>
          <w:b/>
          <w:szCs w:val="24"/>
        </w:rPr>
        <w:t xml:space="preserve">apakškomitejas sēdē izskatāmajiem </w:t>
      </w:r>
      <w:r w:rsidR="001767D5">
        <w:rPr>
          <w:b/>
          <w:szCs w:val="24"/>
        </w:rPr>
        <w:t>Kultūras</w:t>
      </w:r>
      <w:r w:rsidR="00A57181" w:rsidRPr="00A57181">
        <w:rPr>
          <w:b/>
          <w:szCs w:val="24"/>
        </w:rPr>
        <w:t xml:space="preserve"> ministrijas </w:t>
      </w:r>
      <w:r w:rsidR="001767D5" w:rsidRPr="001767D5">
        <w:rPr>
          <w:b/>
          <w:szCs w:val="24"/>
        </w:rPr>
        <w:t xml:space="preserve">4.3.4.9.pasākuma “Sabiedrības saliedēšana, veicinot sabiedrības </w:t>
      </w:r>
      <w:proofErr w:type="spellStart"/>
      <w:r w:rsidR="001767D5" w:rsidRPr="001767D5">
        <w:rPr>
          <w:b/>
          <w:szCs w:val="24"/>
        </w:rPr>
        <w:t>pašorganizēšanos</w:t>
      </w:r>
      <w:proofErr w:type="spellEnd"/>
      <w:r w:rsidR="001767D5" w:rsidRPr="001767D5">
        <w:rPr>
          <w:b/>
          <w:szCs w:val="24"/>
        </w:rPr>
        <w:t xml:space="preserve"> un paplašinot sadarbības un līdzdarbības prasmes un iespējas” </w:t>
      </w:r>
      <w:r w:rsidR="00137F01"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Reatabula"/>
        <w:tblW w:w="0" w:type="auto"/>
        <w:tblLook w:val="04A0" w:firstRow="1" w:lastRow="0" w:firstColumn="1" w:lastColumn="0" w:noHBand="0" w:noVBand="1"/>
      </w:tblPr>
      <w:tblGrid>
        <w:gridCol w:w="555"/>
        <w:gridCol w:w="2482"/>
        <w:gridCol w:w="5803"/>
        <w:gridCol w:w="2550"/>
        <w:gridCol w:w="2558"/>
      </w:tblGrid>
      <w:tr w:rsidR="00A57181" w:rsidRPr="000054D9" w14:paraId="1DC85C06" w14:textId="77777777" w:rsidTr="47386AC0">
        <w:tc>
          <w:tcPr>
            <w:tcW w:w="555" w:type="dxa"/>
          </w:tcPr>
          <w:p w14:paraId="4BB141E3" w14:textId="76725B81" w:rsidR="00A57181" w:rsidRPr="000054D9" w:rsidRDefault="00A57181" w:rsidP="00137F01">
            <w:pPr>
              <w:pStyle w:val="Standard"/>
              <w:jc w:val="center"/>
              <w:rPr>
                <w:rFonts w:cs="Times New Roman"/>
                <w:b/>
                <w:bCs/>
                <w:sz w:val="22"/>
              </w:rPr>
            </w:pPr>
            <w:r w:rsidRPr="000054D9">
              <w:rPr>
                <w:rFonts w:cs="Times New Roman"/>
                <w:b/>
                <w:bCs/>
                <w:sz w:val="22"/>
              </w:rPr>
              <w:t>Nr.</w:t>
            </w:r>
          </w:p>
        </w:tc>
        <w:tc>
          <w:tcPr>
            <w:tcW w:w="2482" w:type="dxa"/>
          </w:tcPr>
          <w:p w14:paraId="6A3984BE" w14:textId="1C6C92FE" w:rsidR="00A57181" w:rsidRPr="000054D9" w:rsidRDefault="00A57181" w:rsidP="00137F01">
            <w:pPr>
              <w:pStyle w:val="Standard"/>
              <w:jc w:val="center"/>
              <w:rPr>
                <w:rFonts w:cs="Times New Roman"/>
                <w:b/>
                <w:bCs/>
                <w:sz w:val="22"/>
              </w:rPr>
            </w:pPr>
            <w:r w:rsidRPr="000054D9">
              <w:rPr>
                <w:rFonts w:cs="Times New Roman"/>
                <w:b/>
                <w:bCs/>
                <w:sz w:val="22"/>
              </w:rPr>
              <w:t>Materiālu esošā redakcija</w:t>
            </w:r>
          </w:p>
        </w:tc>
        <w:tc>
          <w:tcPr>
            <w:tcW w:w="5803" w:type="dxa"/>
          </w:tcPr>
          <w:p w14:paraId="3BA660B7" w14:textId="17AF2DD9" w:rsidR="00A57181" w:rsidRPr="000054D9" w:rsidRDefault="00A57181" w:rsidP="00A57181">
            <w:pPr>
              <w:pStyle w:val="Standard"/>
              <w:jc w:val="center"/>
              <w:rPr>
                <w:rFonts w:cs="Times New Roman"/>
                <w:b/>
                <w:bCs/>
                <w:sz w:val="22"/>
              </w:rPr>
            </w:pPr>
            <w:r w:rsidRPr="000054D9">
              <w:rPr>
                <w:rFonts w:cs="Times New Roman"/>
                <w:b/>
                <w:bCs/>
                <w:sz w:val="22"/>
              </w:rPr>
              <w:t>AK dalībnieka komentārs</w:t>
            </w:r>
          </w:p>
        </w:tc>
        <w:tc>
          <w:tcPr>
            <w:tcW w:w="2550" w:type="dxa"/>
          </w:tcPr>
          <w:p w14:paraId="78D91156" w14:textId="52B5B91F" w:rsidR="00A57181" w:rsidRPr="000054D9" w:rsidRDefault="00A57181" w:rsidP="00137F01">
            <w:pPr>
              <w:pStyle w:val="Standard"/>
              <w:jc w:val="center"/>
              <w:rPr>
                <w:rFonts w:cs="Times New Roman"/>
                <w:b/>
                <w:bCs/>
                <w:sz w:val="22"/>
              </w:rPr>
            </w:pPr>
            <w:r w:rsidRPr="000054D9">
              <w:rPr>
                <w:rFonts w:cs="Times New Roman"/>
                <w:b/>
                <w:bCs/>
                <w:sz w:val="22"/>
              </w:rPr>
              <w:t>AI viedoklis</w:t>
            </w:r>
          </w:p>
        </w:tc>
        <w:tc>
          <w:tcPr>
            <w:tcW w:w="2558" w:type="dxa"/>
          </w:tcPr>
          <w:p w14:paraId="3A7B0DAC" w14:textId="0C266D42" w:rsidR="00A57181" w:rsidRPr="000054D9" w:rsidRDefault="00A57181" w:rsidP="00137F01">
            <w:pPr>
              <w:pStyle w:val="Standard"/>
              <w:jc w:val="center"/>
              <w:rPr>
                <w:rFonts w:cs="Times New Roman"/>
                <w:b/>
                <w:bCs/>
                <w:sz w:val="22"/>
              </w:rPr>
            </w:pPr>
            <w:r w:rsidRPr="000054D9">
              <w:rPr>
                <w:rFonts w:cs="Times New Roman"/>
                <w:b/>
                <w:bCs/>
                <w:sz w:val="22"/>
              </w:rPr>
              <w:t>Gala redakcija</w:t>
            </w:r>
          </w:p>
        </w:tc>
      </w:tr>
      <w:tr w:rsidR="00A57181" w:rsidRPr="000054D9" w14:paraId="380416C8" w14:textId="77777777" w:rsidTr="47386AC0">
        <w:tc>
          <w:tcPr>
            <w:tcW w:w="555" w:type="dxa"/>
          </w:tcPr>
          <w:p w14:paraId="2A7F122C" w14:textId="77777777" w:rsidR="00A57181" w:rsidRPr="000054D9" w:rsidRDefault="00A57181" w:rsidP="00137F01">
            <w:pPr>
              <w:pStyle w:val="Standard"/>
              <w:jc w:val="center"/>
              <w:rPr>
                <w:rFonts w:cs="Times New Roman"/>
                <w:b/>
                <w:bCs/>
                <w:sz w:val="22"/>
              </w:rPr>
            </w:pPr>
          </w:p>
        </w:tc>
        <w:tc>
          <w:tcPr>
            <w:tcW w:w="2482" w:type="dxa"/>
          </w:tcPr>
          <w:p w14:paraId="67E8DA1B" w14:textId="393A3207" w:rsidR="00A57181" w:rsidRPr="000054D9" w:rsidRDefault="00A57181" w:rsidP="00137F01">
            <w:pPr>
              <w:pStyle w:val="Standard"/>
              <w:jc w:val="center"/>
              <w:rPr>
                <w:rFonts w:cs="Times New Roman"/>
                <w:b/>
                <w:bCs/>
                <w:sz w:val="22"/>
              </w:rPr>
            </w:pPr>
            <w:r w:rsidRPr="000054D9">
              <w:rPr>
                <w:rFonts w:cs="Times New Roman"/>
                <w:b/>
                <w:bCs/>
                <w:sz w:val="22"/>
              </w:rPr>
              <w:t>1</w:t>
            </w:r>
          </w:p>
        </w:tc>
        <w:tc>
          <w:tcPr>
            <w:tcW w:w="5803" w:type="dxa"/>
          </w:tcPr>
          <w:p w14:paraId="6B041985" w14:textId="089E011A" w:rsidR="00A57181" w:rsidRPr="000054D9" w:rsidRDefault="00A57181" w:rsidP="00137F01">
            <w:pPr>
              <w:pStyle w:val="Standard"/>
              <w:jc w:val="center"/>
              <w:rPr>
                <w:rFonts w:cs="Times New Roman"/>
                <w:b/>
                <w:bCs/>
                <w:sz w:val="22"/>
              </w:rPr>
            </w:pPr>
            <w:r w:rsidRPr="000054D9">
              <w:rPr>
                <w:rFonts w:cs="Times New Roman"/>
                <w:b/>
                <w:bCs/>
                <w:sz w:val="22"/>
              </w:rPr>
              <w:t>2</w:t>
            </w:r>
          </w:p>
        </w:tc>
        <w:tc>
          <w:tcPr>
            <w:tcW w:w="2550" w:type="dxa"/>
          </w:tcPr>
          <w:p w14:paraId="1753E9BF" w14:textId="309CEBA8" w:rsidR="00A57181" w:rsidRPr="000054D9" w:rsidRDefault="00A57181" w:rsidP="00137F01">
            <w:pPr>
              <w:pStyle w:val="Standard"/>
              <w:jc w:val="center"/>
              <w:rPr>
                <w:rFonts w:cs="Times New Roman"/>
                <w:b/>
                <w:bCs/>
                <w:sz w:val="22"/>
              </w:rPr>
            </w:pPr>
            <w:r w:rsidRPr="000054D9">
              <w:rPr>
                <w:rFonts w:cs="Times New Roman"/>
                <w:b/>
                <w:bCs/>
                <w:sz w:val="22"/>
              </w:rPr>
              <w:t>3</w:t>
            </w:r>
          </w:p>
        </w:tc>
        <w:tc>
          <w:tcPr>
            <w:tcW w:w="2558" w:type="dxa"/>
          </w:tcPr>
          <w:p w14:paraId="093B038E" w14:textId="0F096221" w:rsidR="00A57181" w:rsidRPr="000054D9" w:rsidRDefault="00A57181" w:rsidP="00137F01">
            <w:pPr>
              <w:pStyle w:val="Standard"/>
              <w:jc w:val="center"/>
              <w:rPr>
                <w:rFonts w:cs="Times New Roman"/>
                <w:b/>
                <w:bCs/>
                <w:sz w:val="22"/>
              </w:rPr>
            </w:pPr>
            <w:r w:rsidRPr="000054D9">
              <w:rPr>
                <w:rFonts w:cs="Times New Roman"/>
                <w:b/>
                <w:bCs/>
                <w:sz w:val="22"/>
              </w:rPr>
              <w:t>3</w:t>
            </w:r>
          </w:p>
        </w:tc>
      </w:tr>
      <w:tr w:rsidR="00A57181" w:rsidRPr="000054D9" w14:paraId="5F51158A" w14:textId="77777777" w:rsidTr="47386AC0">
        <w:tc>
          <w:tcPr>
            <w:tcW w:w="13948" w:type="dxa"/>
            <w:gridSpan w:val="5"/>
            <w:shd w:val="clear" w:color="auto" w:fill="C5E0B3" w:themeFill="accent6" w:themeFillTint="66"/>
          </w:tcPr>
          <w:p w14:paraId="5E6EE4EC" w14:textId="30665F84" w:rsidR="00A57181" w:rsidRPr="000054D9" w:rsidRDefault="00A57181" w:rsidP="00A57181">
            <w:pPr>
              <w:pStyle w:val="Standard"/>
              <w:jc w:val="both"/>
              <w:rPr>
                <w:rFonts w:cs="Times New Roman"/>
                <w:b/>
                <w:bCs/>
                <w:sz w:val="22"/>
              </w:rPr>
            </w:pPr>
            <w:r w:rsidRPr="000054D9">
              <w:rPr>
                <w:rFonts w:cs="Times New Roman"/>
                <w:b/>
                <w:bCs/>
                <w:sz w:val="22"/>
              </w:rPr>
              <w:t>Par projektu iesniegumu vērtēšanas kritērijiem</w:t>
            </w:r>
          </w:p>
        </w:tc>
      </w:tr>
      <w:tr w:rsidR="00603043" w:rsidRPr="000054D9" w14:paraId="6D4B6E25" w14:textId="77777777" w:rsidTr="47386AC0">
        <w:tc>
          <w:tcPr>
            <w:tcW w:w="555" w:type="dxa"/>
          </w:tcPr>
          <w:p w14:paraId="44B426E0"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tcPr>
          <w:p w14:paraId="4E442DC0" w14:textId="69EF4834" w:rsidR="00603043" w:rsidRPr="000054D9" w:rsidRDefault="00603043" w:rsidP="00603043">
            <w:pPr>
              <w:pStyle w:val="Standard"/>
              <w:jc w:val="both"/>
              <w:rPr>
                <w:rFonts w:cs="Times New Roman"/>
                <w:b/>
                <w:bCs/>
                <w:sz w:val="22"/>
              </w:rPr>
            </w:pPr>
            <w:r>
              <w:rPr>
                <w:rFonts w:cs="Times New Roman"/>
                <w:b/>
                <w:bCs/>
                <w:sz w:val="22"/>
              </w:rPr>
              <w:t>Kritērijs Nr. 3.3.</w:t>
            </w:r>
          </w:p>
        </w:tc>
        <w:tc>
          <w:tcPr>
            <w:tcW w:w="5803" w:type="dxa"/>
          </w:tcPr>
          <w:p w14:paraId="08ACB660"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64DD26B6" w14:textId="77777777" w:rsidR="00603043" w:rsidRDefault="00603043" w:rsidP="00603043">
            <w:pPr>
              <w:pStyle w:val="Standard"/>
              <w:jc w:val="both"/>
              <w:rPr>
                <w:rFonts w:cs="Times New Roman"/>
                <w:sz w:val="22"/>
              </w:rPr>
            </w:pPr>
          </w:p>
          <w:p w14:paraId="289BF871" w14:textId="54E5DC4F" w:rsidR="00603043" w:rsidRPr="000054D9" w:rsidRDefault="00603043" w:rsidP="00603043">
            <w:pPr>
              <w:pStyle w:val="Standard"/>
              <w:jc w:val="both"/>
              <w:rPr>
                <w:rFonts w:cs="Times New Roman"/>
                <w:sz w:val="22"/>
              </w:rPr>
            </w:pPr>
            <w:r w:rsidRPr="00603043">
              <w:rPr>
                <w:rFonts w:cs="Times New Roman"/>
                <w:sz w:val="22"/>
              </w:rPr>
              <w:t xml:space="preserve">Ierosinām svītrot 3.3.kritēriju, ņemot vērā, ka kritērija piemērošanas skaidrojums paredz izvērtēt atbilstību MK noteikumu 36. punktam, kas ietver MK noteikumu 23.1. apakšpunktā definētās atbalstāmās darbības ietvaros veicamās aktivitātes, tādējādi atbilstība MK noteikumu 36.punktam būtu vērtējama vienotā kritērija “9. Projekta iesniegumā plānotie sagaidāmie rezultāti ir skaidri definēti un izriet no plānoto darbību aprakstiem, plānotās projekta darbības: 9.1. atbilst MK noteikumos par SAM īstenošanu noteiktajam un paredz saikni ar attiecīgajām atbalstāmajām darbībām; 9.2. ir precīzi definētas un pamatotas, un tās risina projektā definētās problēmas.” ietvaros, atbilstoši papildinot kritērija piemērošanas skaidrojumu, kas saskaņā ar atlases metodiku Nr.3.1. ir papildināms pēc nepieciešamības.  </w:t>
            </w:r>
          </w:p>
        </w:tc>
        <w:tc>
          <w:tcPr>
            <w:tcW w:w="2550" w:type="dxa"/>
          </w:tcPr>
          <w:p w14:paraId="366785FE" w14:textId="4EDB0CB4" w:rsidR="00603043" w:rsidRPr="00205426" w:rsidRDefault="77FE912D" w:rsidP="47386AC0">
            <w:pPr>
              <w:pStyle w:val="Standard"/>
              <w:jc w:val="both"/>
              <w:rPr>
                <w:rFonts w:cs="Times New Roman"/>
                <w:b/>
                <w:bCs/>
                <w:sz w:val="22"/>
              </w:rPr>
            </w:pPr>
            <w:r w:rsidRPr="00205426">
              <w:rPr>
                <w:rFonts w:cs="Times New Roman"/>
                <w:b/>
                <w:bCs/>
                <w:sz w:val="22"/>
              </w:rPr>
              <w:t>Ņemts vērā</w:t>
            </w:r>
          </w:p>
          <w:p w14:paraId="71323D96" w14:textId="5D48BC1E" w:rsidR="00603043" w:rsidRPr="00205426" w:rsidRDefault="00603043" w:rsidP="47386AC0">
            <w:pPr>
              <w:pStyle w:val="Standard"/>
              <w:jc w:val="both"/>
              <w:rPr>
                <w:rFonts w:cs="Times New Roman"/>
                <w:b/>
                <w:bCs/>
                <w:sz w:val="22"/>
              </w:rPr>
            </w:pPr>
          </w:p>
          <w:p w14:paraId="2E85140B" w14:textId="77777777" w:rsidR="00603043" w:rsidRPr="00205426" w:rsidRDefault="77FE912D" w:rsidP="47386AC0">
            <w:pPr>
              <w:pStyle w:val="Standard"/>
              <w:jc w:val="both"/>
              <w:rPr>
                <w:rFonts w:cs="Times New Roman"/>
                <w:sz w:val="22"/>
              </w:rPr>
            </w:pPr>
            <w:r w:rsidRPr="00205426">
              <w:rPr>
                <w:rFonts w:cs="Times New Roman"/>
                <w:sz w:val="22"/>
              </w:rPr>
              <w:t>Svītrots kritērijs Nr.3.3.</w:t>
            </w:r>
          </w:p>
          <w:p w14:paraId="43DFF037" w14:textId="77777777" w:rsidR="00205426" w:rsidRPr="00205426" w:rsidRDefault="00205426" w:rsidP="47386AC0">
            <w:pPr>
              <w:pStyle w:val="Standard"/>
              <w:jc w:val="both"/>
              <w:rPr>
                <w:rFonts w:cs="Times New Roman"/>
                <w:sz w:val="22"/>
              </w:rPr>
            </w:pPr>
          </w:p>
          <w:p w14:paraId="4EE04E42" w14:textId="77777777" w:rsidR="00205426" w:rsidRPr="00205426" w:rsidRDefault="00205426" w:rsidP="00205426">
            <w:pPr>
              <w:suppressAutoHyphens w:val="0"/>
              <w:autoSpaceDN/>
              <w:jc w:val="both"/>
              <w:textAlignment w:val="auto"/>
              <w:rPr>
                <w:rFonts w:eastAsia="Times New Roman" w:cs="Times New Roman"/>
                <w:sz w:val="22"/>
              </w:rPr>
            </w:pPr>
            <w:r w:rsidRPr="00205426">
              <w:rPr>
                <w:rFonts w:eastAsia="Times New Roman" w:cs="Times New Roman"/>
                <w:sz w:val="22"/>
              </w:rPr>
              <w:t xml:space="preserve">Papildināta 1.9.kritērija metodika ar nosacījumiem: </w:t>
            </w:r>
          </w:p>
          <w:p w14:paraId="20BDAD18" w14:textId="061469E6" w:rsidR="00205426" w:rsidRPr="00205426" w:rsidRDefault="00205426" w:rsidP="00205426">
            <w:pPr>
              <w:suppressAutoHyphens w:val="0"/>
              <w:autoSpaceDN/>
              <w:jc w:val="both"/>
              <w:textAlignment w:val="auto"/>
              <w:rPr>
                <w:rFonts w:eastAsia="Times New Roman"/>
                <w:sz w:val="22"/>
              </w:rPr>
            </w:pPr>
            <w:r>
              <w:rPr>
                <w:rFonts w:eastAsia="Times New Roman" w:cs="Times New Roman"/>
                <w:sz w:val="22"/>
              </w:rPr>
              <w:t>“</w:t>
            </w:r>
            <w:r w:rsidRPr="00205426">
              <w:rPr>
                <w:rFonts w:eastAsia="Times New Roman" w:cs="Times New Roman"/>
                <w:sz w:val="22"/>
              </w:rPr>
              <w:t xml:space="preserve">4) </w:t>
            </w:r>
            <w:r w:rsidRPr="00205426">
              <w:rPr>
                <w:rFonts w:eastAsia="Times New Roman" w:cs="Times New Roman"/>
                <w:sz w:val="22"/>
              </w:rPr>
              <w:t>Finansējuma saņēmējs</w:t>
            </w:r>
            <w:r w:rsidRPr="00205426">
              <w:rPr>
                <w:rFonts w:eastAsia="Times New Roman"/>
                <w:sz w:val="22"/>
              </w:rPr>
              <w:t xml:space="preserve"> izpilda MK nosacījumus finansējuma saņēmēja</w:t>
            </w:r>
            <w:r w:rsidRPr="00205426">
              <w:rPr>
                <w:rFonts w:eastAsia="Times New Roman" w:cs="Times New Roman"/>
                <w:sz w:val="22"/>
              </w:rPr>
              <w:t xml:space="preserve"> atbalstām</w:t>
            </w:r>
            <w:r w:rsidRPr="00205426">
              <w:rPr>
                <w:rFonts w:eastAsia="Times New Roman"/>
                <w:sz w:val="22"/>
              </w:rPr>
              <w:t>o</w:t>
            </w:r>
            <w:r w:rsidRPr="00205426">
              <w:rPr>
                <w:rFonts w:eastAsia="Times New Roman" w:cs="Times New Roman"/>
                <w:sz w:val="22"/>
              </w:rPr>
              <w:t xml:space="preserve"> darbīb</w:t>
            </w:r>
            <w:r w:rsidRPr="00205426">
              <w:rPr>
                <w:rFonts w:eastAsia="Times New Roman"/>
                <w:sz w:val="22"/>
              </w:rPr>
              <w:t>u</w:t>
            </w:r>
            <w:r w:rsidRPr="00205426">
              <w:rPr>
                <w:rFonts w:eastAsia="Times New Roman" w:cs="Times New Roman"/>
                <w:sz w:val="22"/>
              </w:rPr>
              <w:t xml:space="preserve"> īstenošanai</w:t>
            </w:r>
            <w:r w:rsidRPr="00205426">
              <w:rPr>
                <w:rFonts w:eastAsia="Times New Roman"/>
                <w:sz w:val="22"/>
              </w:rPr>
              <w:t>;</w:t>
            </w:r>
          </w:p>
          <w:p w14:paraId="4065EA6E" w14:textId="3380FDE7" w:rsidR="00205426" w:rsidRPr="00205426" w:rsidRDefault="00205426" w:rsidP="00205426">
            <w:pPr>
              <w:suppressAutoHyphens w:val="0"/>
              <w:autoSpaceDN/>
              <w:jc w:val="both"/>
              <w:textAlignment w:val="auto"/>
              <w:rPr>
                <w:rFonts w:eastAsia="Times New Roman" w:cs="Times New Roman"/>
                <w:sz w:val="22"/>
              </w:rPr>
            </w:pPr>
            <w:r w:rsidRPr="00205426">
              <w:rPr>
                <w:rFonts w:eastAsia="Times New Roman"/>
                <w:sz w:val="22"/>
              </w:rPr>
              <w:t xml:space="preserve">5) </w:t>
            </w:r>
            <w:r w:rsidRPr="00205426">
              <w:rPr>
                <w:rFonts w:eastAsia="Times New Roman"/>
                <w:sz w:val="22"/>
              </w:rPr>
              <w:t>Sadarbības partneris izpilda MK nosacījumus sadarbības partnera</w:t>
            </w:r>
            <w:r w:rsidRPr="00205426">
              <w:rPr>
                <w:rFonts w:eastAsia="Times New Roman" w:cs="Times New Roman"/>
                <w:sz w:val="22"/>
              </w:rPr>
              <w:t xml:space="preserve"> atbalstām</w:t>
            </w:r>
            <w:r w:rsidRPr="00205426">
              <w:rPr>
                <w:rFonts w:eastAsia="Times New Roman"/>
                <w:sz w:val="22"/>
              </w:rPr>
              <w:t>o</w:t>
            </w:r>
            <w:r w:rsidRPr="00205426">
              <w:rPr>
                <w:rFonts w:eastAsia="Times New Roman" w:cs="Times New Roman"/>
                <w:sz w:val="22"/>
              </w:rPr>
              <w:t xml:space="preserve"> darbīb</w:t>
            </w:r>
            <w:r w:rsidRPr="00205426">
              <w:rPr>
                <w:rFonts w:eastAsia="Times New Roman"/>
                <w:sz w:val="22"/>
              </w:rPr>
              <w:t>u</w:t>
            </w:r>
            <w:r w:rsidRPr="00205426">
              <w:rPr>
                <w:rFonts w:eastAsia="Times New Roman" w:cs="Times New Roman"/>
                <w:sz w:val="22"/>
              </w:rPr>
              <w:t xml:space="preserve"> īstenošanai</w:t>
            </w:r>
            <w:r w:rsidRPr="00205426">
              <w:rPr>
                <w:rFonts w:eastAsia="Times New Roman"/>
                <w:sz w:val="22"/>
              </w:rPr>
              <w:t>;</w:t>
            </w:r>
            <w:r>
              <w:rPr>
                <w:rFonts w:eastAsia="Times New Roman"/>
                <w:sz w:val="22"/>
              </w:rPr>
              <w:t>”</w:t>
            </w:r>
          </w:p>
          <w:p w14:paraId="0296CACA" w14:textId="60EB7FD7" w:rsidR="00205426" w:rsidRPr="00205426" w:rsidRDefault="00205426" w:rsidP="47386AC0">
            <w:pPr>
              <w:pStyle w:val="Standard"/>
              <w:jc w:val="both"/>
              <w:rPr>
                <w:rFonts w:cs="Times New Roman"/>
                <w:sz w:val="22"/>
              </w:rPr>
            </w:pPr>
          </w:p>
        </w:tc>
        <w:tc>
          <w:tcPr>
            <w:tcW w:w="2558" w:type="dxa"/>
          </w:tcPr>
          <w:p w14:paraId="6DEE62A6" w14:textId="77777777" w:rsidR="00603043" w:rsidRPr="000054D9" w:rsidRDefault="00603043" w:rsidP="00603043">
            <w:pPr>
              <w:pStyle w:val="Standard"/>
              <w:jc w:val="both"/>
              <w:rPr>
                <w:rFonts w:cs="Times New Roman"/>
                <w:sz w:val="22"/>
              </w:rPr>
            </w:pPr>
          </w:p>
        </w:tc>
      </w:tr>
      <w:tr w:rsidR="00603043" w:rsidRPr="000054D9" w14:paraId="75001870" w14:textId="77777777" w:rsidTr="47386AC0">
        <w:tc>
          <w:tcPr>
            <w:tcW w:w="555" w:type="dxa"/>
          </w:tcPr>
          <w:p w14:paraId="01CD6B52"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tcPr>
          <w:p w14:paraId="409ACF3A" w14:textId="4916852A" w:rsidR="00603043" w:rsidRPr="000054D9" w:rsidRDefault="00EE0A56" w:rsidP="00603043">
            <w:pPr>
              <w:pStyle w:val="Standard"/>
              <w:jc w:val="both"/>
              <w:rPr>
                <w:rFonts w:cs="Times New Roman"/>
                <w:b/>
                <w:bCs/>
                <w:sz w:val="22"/>
              </w:rPr>
            </w:pPr>
            <w:r>
              <w:rPr>
                <w:rFonts w:cs="Times New Roman"/>
                <w:b/>
                <w:bCs/>
                <w:sz w:val="22"/>
              </w:rPr>
              <w:t>Vispārīgi</w:t>
            </w:r>
          </w:p>
        </w:tc>
        <w:tc>
          <w:tcPr>
            <w:tcW w:w="5803" w:type="dxa"/>
          </w:tcPr>
          <w:p w14:paraId="5A3D2A5B" w14:textId="77777777" w:rsidR="00603043" w:rsidRPr="00EE0A56" w:rsidRDefault="00EE0A56" w:rsidP="00EE0A56">
            <w:pPr>
              <w:pStyle w:val="Standard"/>
              <w:jc w:val="both"/>
              <w:rPr>
                <w:rFonts w:cs="Times New Roman"/>
                <w:b/>
                <w:bCs/>
                <w:sz w:val="22"/>
              </w:rPr>
            </w:pPr>
            <w:r w:rsidRPr="00EE0A56">
              <w:rPr>
                <w:rFonts w:cs="Times New Roman"/>
                <w:b/>
                <w:bCs/>
                <w:sz w:val="22"/>
              </w:rPr>
              <w:t>NVO (Sabiedriskās politikas centrs Providus, Latvijas Vācu savienība, Latvijas Neredzīgo biedrība, Latvijas Lauku forums)</w:t>
            </w:r>
          </w:p>
          <w:p w14:paraId="3EEFD92B" w14:textId="77777777" w:rsidR="00EE0A56" w:rsidRDefault="00EE0A56" w:rsidP="00EE0A56">
            <w:pPr>
              <w:pStyle w:val="Standard"/>
              <w:jc w:val="both"/>
              <w:rPr>
                <w:rFonts w:cs="Times New Roman"/>
                <w:sz w:val="22"/>
              </w:rPr>
            </w:pPr>
          </w:p>
          <w:p w14:paraId="734D88D5" w14:textId="77777777" w:rsidR="00EE0A56" w:rsidRPr="00EE0A56" w:rsidRDefault="00EE0A56" w:rsidP="00EE0A56">
            <w:pPr>
              <w:pStyle w:val="Standard"/>
              <w:jc w:val="both"/>
              <w:rPr>
                <w:rFonts w:cs="Times New Roman"/>
                <w:sz w:val="22"/>
              </w:rPr>
            </w:pPr>
            <w:r w:rsidRPr="00EE0A56">
              <w:rPr>
                <w:rFonts w:cs="Times New Roman"/>
                <w:sz w:val="22"/>
              </w:rPr>
              <w:t>Atzinīgi vērtējot to, ka šis pasākums paredz atbalstu reģionu NVO, mēs uzskatām, ka šī pasākuma fokusam šobrīd ir trīs būtiskas nepilnības: 1) pārmērīgs fokuss uz reģionu NVO centru spēcināšanu, nevis uz reģionu iedzīvotāju pašorganizēšanās spēju stiprināšanu, 2) pārāk liels uzsvars uz izglītojošām aktivitātēm; 3) nav balstīts  pieejā “no lejas uz augšu”, kurā sabiedrības pašorganizēšanās un aktivizēšanas pasākumi tiek izzināti un izriet no vietējo kopienu un NVO vajadzībām.</w:t>
            </w:r>
          </w:p>
          <w:p w14:paraId="00874786" w14:textId="77777777" w:rsidR="00EE0A56" w:rsidRPr="00EE0A56" w:rsidRDefault="00EE0A56" w:rsidP="00EE0A56">
            <w:pPr>
              <w:pStyle w:val="Standard"/>
              <w:jc w:val="both"/>
              <w:rPr>
                <w:rFonts w:cs="Times New Roman"/>
                <w:sz w:val="22"/>
              </w:rPr>
            </w:pPr>
            <w:r w:rsidRPr="00EE0A56">
              <w:rPr>
                <w:rFonts w:cs="Times New Roman"/>
                <w:sz w:val="22"/>
              </w:rPr>
              <w:lastRenderedPageBreak/>
              <w:t xml:space="preserve">Lai izglītošanas un apmācību pasākumiem būtu efektīva un ilgtspējīga ietekme, ir būtiska </w:t>
            </w:r>
            <w:proofErr w:type="gramStart"/>
            <w:r w:rsidRPr="00EE0A56">
              <w:rPr>
                <w:rFonts w:cs="Times New Roman"/>
                <w:sz w:val="22"/>
              </w:rPr>
              <w:t>konkrētu līdzdarbības</w:t>
            </w:r>
            <w:proofErr w:type="gramEnd"/>
            <w:r w:rsidRPr="00EE0A56">
              <w:rPr>
                <w:rFonts w:cs="Times New Roman"/>
                <w:sz w:val="22"/>
              </w:rPr>
              <w:t xml:space="preserve"> un pašorganizēšanās prasmju PRAKTIZĒŠANA, kas pašreizējā redakcijā nav saskatāma. Uz izglītojošajām aktivitātēm parasti nāk maz iedzīvotāju, turklāt biežāk tie ir tādi iedzīvotāji, kuri jau ir pilsoniski aktīvi (piemēram, aktīvi darbojas NVO). Uzskatām, ka no pasākuma, kuram tiek atvēlētas Latvijas mērogam sevišķi lielas investīcijas, būtu jāgaida arī liela ietekme un vērtība.  </w:t>
            </w:r>
          </w:p>
          <w:p w14:paraId="60CF81C5" w14:textId="48CC7E52" w:rsidR="00EE0A56" w:rsidRPr="00EE0A56" w:rsidRDefault="00EE0A56" w:rsidP="00EE0A56">
            <w:pPr>
              <w:pStyle w:val="Standard"/>
              <w:jc w:val="both"/>
              <w:rPr>
                <w:rFonts w:cs="Times New Roman"/>
                <w:sz w:val="22"/>
              </w:rPr>
            </w:pPr>
            <w:proofErr w:type="gramStart"/>
            <w:r w:rsidRPr="00EE0A56">
              <w:rPr>
                <w:rFonts w:cs="Times New Roman"/>
                <w:sz w:val="22"/>
              </w:rPr>
              <w:t>2023.gada</w:t>
            </w:r>
            <w:proofErr w:type="gramEnd"/>
            <w:r w:rsidRPr="00EE0A56">
              <w:rPr>
                <w:rFonts w:cs="Times New Roman"/>
                <w:sz w:val="22"/>
              </w:rPr>
              <w:t xml:space="preserve"> 16.-18.jūnijā pēc Kultūras ministrijas pasūtījuma tika organizēts </w:t>
            </w:r>
            <w:proofErr w:type="spellStart"/>
            <w:r w:rsidRPr="00EE0A56">
              <w:rPr>
                <w:rFonts w:cs="Times New Roman"/>
                <w:sz w:val="22"/>
              </w:rPr>
              <w:t>deliberatīvais</w:t>
            </w:r>
            <w:proofErr w:type="spellEnd"/>
            <w:r w:rsidRPr="00EE0A56">
              <w:rPr>
                <w:rFonts w:cs="Times New Roman"/>
                <w:sz w:val="22"/>
              </w:rPr>
              <w:t xml:space="preserve"> pasākums "Kā Latvijas sabiedrībai kļūt saliedētākai un pilsoniski aktīvākai?" (https://www.km.gov.lv/lv/media/35067/download?attachment)   Tajā pie rekomendācijām strādāja 23 socioloģiskās pētījumu firmas atlasīti “parastie”</w:t>
            </w:r>
            <w:r w:rsidR="00290BFC">
              <w:rPr>
                <w:rFonts w:cs="Times New Roman"/>
                <w:sz w:val="22"/>
              </w:rPr>
              <w:t xml:space="preserve"> </w:t>
            </w:r>
            <w:r w:rsidRPr="00EE0A56">
              <w:rPr>
                <w:rFonts w:cs="Times New Roman"/>
                <w:sz w:val="22"/>
              </w:rPr>
              <w:t xml:space="preserve">Latvijas iedzīvotāji, kuri pēc dzīves vietas, ģimenes valodas un daļēji pēc vecuma statistiski korelēja ar Latvijas sabiedrības daudzveidību. Domājot par to, kā pašiem kļūt pilsoniski aktīvākiem vai padarīt aktīvākus savus līdzcilvēkus, no viņiem neskanēja vēlme pēc izglītojošiem pasākumiem, kuriem kāds mācītu viņiem, kā būt aktīvākiem. Tieši otrādi – pašu iedzīvotāju vēlme ir pēc pašu iesaistes un darbības. Iedzīvotāji trīs dienu laikā izstrādāja septiņus ieteikumus, no kuriem divi tieši skar pasākuma 4.3.4.9 pamatjēgu: </w:t>
            </w:r>
          </w:p>
          <w:p w14:paraId="13B25536" w14:textId="77777777" w:rsidR="00EE0A56" w:rsidRPr="00EE0A56" w:rsidRDefault="00EE0A56" w:rsidP="00EE0A56">
            <w:pPr>
              <w:pStyle w:val="Standard"/>
              <w:jc w:val="both"/>
              <w:rPr>
                <w:rFonts w:cs="Times New Roman"/>
                <w:sz w:val="22"/>
              </w:rPr>
            </w:pPr>
            <w:r w:rsidRPr="00EE0A56">
              <w:rPr>
                <w:rFonts w:cs="Times New Roman"/>
                <w:sz w:val="22"/>
              </w:rPr>
              <w:t xml:space="preserve">"1. Jāatbalsta iedzīvotāju iniciatīva pašiem organizēt saliedējošus pasākumus - piemēram, kaimiņu dienas, talkas, festivāli, svētki, apkaimju svētki, ekskursijas. Atbalsts var izpausties kā valsts vai pašvaldības līdzfinansējums, informācijas platforma, palīdzība ar komunikāciju. Šādos pasākumos jābūt iespējai satikt dažādu tautību cilvēkus, sazināties, draudzēties, iepazīt apkārtni, neparastas vietas. Svarīgi, lai tie būtu klātienes pasākumi, turklāt tiem jānotiek ne tikai Rīgā, bet arī reģionos. </w:t>
            </w:r>
          </w:p>
          <w:p w14:paraId="3B7BB41C" w14:textId="77777777" w:rsidR="00EE0A56" w:rsidRPr="00EE0A56" w:rsidRDefault="00EE0A56" w:rsidP="00EE0A56">
            <w:pPr>
              <w:pStyle w:val="Standard"/>
              <w:jc w:val="both"/>
              <w:rPr>
                <w:rFonts w:cs="Times New Roman"/>
                <w:sz w:val="22"/>
              </w:rPr>
            </w:pPr>
            <w:r w:rsidRPr="00EE0A56">
              <w:rPr>
                <w:rFonts w:cs="Times New Roman"/>
                <w:sz w:val="22"/>
              </w:rPr>
              <w:t xml:space="preserve">2. Īpaši atbalsta pasākumi vajadzīgi tam, lai arī cilvēkiem, kuri nedzīvo Rīgā, būtu plašas līdzdalības iespējas (piemēram, atbalsts interešu pulciņiem, tikšanās telpām, mentoriem, kuri palīdzētu veidot biedrības, iesaistīties lēmumu pieņemšanā). </w:t>
            </w:r>
            <w:r w:rsidRPr="00EE0A56">
              <w:rPr>
                <w:rFonts w:cs="Times New Roman"/>
                <w:sz w:val="22"/>
              </w:rPr>
              <w:lastRenderedPageBreak/>
              <w:t>Sevišķi ar iesaisti jāpalīdz tiem reģionu iedzīvotājiem, kuri ir sociāli mazaizsargāti.</w:t>
            </w:r>
          </w:p>
          <w:p w14:paraId="13B9788E" w14:textId="77777777" w:rsidR="00EE0A56" w:rsidRPr="00EE0A56" w:rsidRDefault="00EE0A56" w:rsidP="00EE0A56">
            <w:pPr>
              <w:pStyle w:val="Standard"/>
              <w:jc w:val="both"/>
              <w:rPr>
                <w:rFonts w:cs="Times New Roman"/>
                <w:sz w:val="22"/>
              </w:rPr>
            </w:pPr>
            <w:r w:rsidRPr="00EE0A56">
              <w:rPr>
                <w:rFonts w:cs="Times New Roman"/>
                <w:sz w:val="22"/>
              </w:rPr>
              <w:t xml:space="preserve">Tādēļ uzskatām, ka 4.3.4.9. pasākuma pamata jēgai un lielākajam finanšu apmēram jāiet uz palīdzību KATRAS Latvijas pašvaldības iedzīvotājiem realizēt tās viņu pašu iniciatīvas, kas saistītas ar krīžu noturības veidošanu, pašvaldībā pilsoniski aktīvo cilvēku loka paplašināšanu vai pilsoniski aktīvo cilvēku saliedēšanu (caur kopīgām aktivitātēm). Vienlaikus nosakot prasību, ka vismaz 30% no iesaistītajiem iedzīvotājiem, kopienām un NVO ir no lauku teritorijām, kurās līdz ar 2021. gadā īstenotajām administratīvi teritoriālajām reformām, aktīvie iedzīvotāji, kopienas un NVO nereti ir vienīgais resurss, kas spēj veidot un uzturēt iedzīvotāju līdzdalību un aktivizēšanu.  </w:t>
            </w:r>
          </w:p>
          <w:p w14:paraId="4D52A605" w14:textId="77777777" w:rsidR="00EE0A56" w:rsidRPr="00EE0A56" w:rsidRDefault="00EE0A56" w:rsidP="00EE0A56">
            <w:pPr>
              <w:pStyle w:val="Standard"/>
              <w:jc w:val="both"/>
              <w:rPr>
                <w:rFonts w:cs="Times New Roman"/>
                <w:sz w:val="22"/>
              </w:rPr>
            </w:pPr>
            <w:r w:rsidRPr="00EE0A56">
              <w:rPr>
                <w:rFonts w:cs="Times New Roman"/>
                <w:sz w:val="22"/>
              </w:rPr>
              <w:t>Attiecīgi,</w:t>
            </w:r>
            <w:proofErr w:type="gramStart"/>
            <w:r w:rsidRPr="00EE0A56">
              <w:rPr>
                <w:rFonts w:cs="Times New Roman"/>
                <w:sz w:val="22"/>
              </w:rPr>
              <w:t xml:space="preserve">  </w:t>
            </w:r>
            <w:proofErr w:type="gramEnd"/>
            <w:r w:rsidRPr="00EE0A56">
              <w:rPr>
                <w:rFonts w:cs="Times New Roman"/>
                <w:sz w:val="22"/>
              </w:rPr>
              <w:t xml:space="preserve">reģionu NVO centriem ir jāpalīdz iedzīvotājiem apzināt piemērotākās iniciatīvas un tad tās īstenot (pamatā palīdzot ar </w:t>
            </w:r>
            <w:proofErr w:type="spellStart"/>
            <w:r w:rsidRPr="00EE0A56">
              <w:rPr>
                <w:rFonts w:cs="Times New Roman"/>
                <w:sz w:val="22"/>
              </w:rPr>
              <w:t>mentoringu</w:t>
            </w:r>
            <w:proofErr w:type="spellEnd"/>
            <w:r w:rsidRPr="00EE0A56">
              <w:rPr>
                <w:rFonts w:cs="Times New Roman"/>
                <w:sz w:val="22"/>
              </w:rPr>
              <w:t xml:space="preserve"> attiecībā uz loģistikas un satura lietām, kā arī uz izmaksu segšanu). Tāpat reģionu NVO centriem būtu jāveido un jāpaplašina katras pašvaldības pilsoniski aktīvo cilvēku tīkls, t.sk. lauku teritorijās, regulāri viņus aptaujājot par atbalsta vai izglītošanas vajadzībām, un šī informācija tālāk jānovada līdz lēmumu pieņēmējiem Kultūras ministrijā un citās iestādēs.  Sabiedrības integrācijas fondam šī pasākuma ietvaros būtu pamatā jāpopularizē sekmīgākās iedzīvotāju pašiniciatīvas, jānodrošina pieredzes apmaiņas pasākumi vietējiem aktīvistiem ar citām pašvaldībām un citām valstīm, kā arī jānodrošina sinerģijas ar citiem uz reģionu iedzīvotāju iesaisti saistītajiem pasākumiem (piemēram, NVO inkubatoriem, reģionu NVO centru līdzdarbības līgumiem, sociālo inovāciju inkubatoriem).</w:t>
            </w:r>
          </w:p>
          <w:p w14:paraId="76B7DDC3" w14:textId="77777777" w:rsidR="00EE0A56" w:rsidRPr="00EE0A56" w:rsidRDefault="00EE0A56" w:rsidP="00EE0A56">
            <w:pPr>
              <w:pStyle w:val="Standard"/>
              <w:jc w:val="both"/>
              <w:rPr>
                <w:rFonts w:cs="Times New Roman"/>
                <w:sz w:val="22"/>
              </w:rPr>
            </w:pPr>
          </w:p>
          <w:p w14:paraId="06C37AC7" w14:textId="77777777" w:rsidR="00EE0A56" w:rsidRPr="00EE0A56" w:rsidRDefault="00EE0A56" w:rsidP="00EE0A56">
            <w:pPr>
              <w:pStyle w:val="Standard"/>
              <w:jc w:val="both"/>
              <w:rPr>
                <w:rFonts w:cs="Times New Roman"/>
                <w:sz w:val="22"/>
              </w:rPr>
            </w:pPr>
            <w:r w:rsidRPr="00EE0A56">
              <w:rPr>
                <w:rFonts w:cs="Times New Roman"/>
                <w:sz w:val="22"/>
              </w:rPr>
              <w:t>Ierosinājumi kritērijiem un to piemērošanas metodikai</w:t>
            </w:r>
          </w:p>
          <w:p w14:paraId="1449DE5E" w14:textId="77777777" w:rsidR="00EE0A56" w:rsidRPr="00EE0A56" w:rsidRDefault="00EE0A56" w:rsidP="00EE0A56">
            <w:pPr>
              <w:pStyle w:val="Standard"/>
              <w:jc w:val="both"/>
              <w:rPr>
                <w:rFonts w:cs="Times New Roman"/>
                <w:sz w:val="22"/>
              </w:rPr>
            </w:pPr>
            <w:r w:rsidRPr="00EE0A56">
              <w:rPr>
                <w:rFonts w:cs="Times New Roman"/>
                <w:sz w:val="22"/>
              </w:rPr>
              <w:t>Ierosinām pārformulēt vērtēšanas kritērijus un to piemērošanas metodiku tā, lai to akcenti būtu salikti šādi:</w:t>
            </w:r>
          </w:p>
          <w:p w14:paraId="70E466DB" w14:textId="77777777" w:rsidR="00EE0A56" w:rsidRPr="00EE0A56" w:rsidRDefault="00EE0A56" w:rsidP="00EE0A56">
            <w:pPr>
              <w:pStyle w:val="Standard"/>
              <w:jc w:val="both"/>
              <w:rPr>
                <w:rFonts w:cs="Times New Roman"/>
                <w:sz w:val="22"/>
              </w:rPr>
            </w:pPr>
            <w:r w:rsidRPr="00EE0A56">
              <w:rPr>
                <w:rFonts w:cs="Times New Roman"/>
                <w:sz w:val="22"/>
              </w:rPr>
              <w:t xml:space="preserve">1. Ņemot vērā to, ka pasākums tiks realizēts aptuveni piecus gadus, ir samērīgi prasīt to, lai tiktu atbalstītas iedzīvotāju pašiniciatīvas iniciatīvas KATRĀ Latvijas pašvaldībā (vismaz trīs pašiniciatīvas iniciatīva katrā pašvaldībā), attiecīgi palielinot NVO centru piesaistīto partneru skaitu vismaz līdz 30 </w:t>
            </w:r>
            <w:r w:rsidRPr="00EE0A56">
              <w:rPr>
                <w:rFonts w:cs="Times New Roman"/>
                <w:sz w:val="22"/>
              </w:rPr>
              <w:lastRenderedPageBreak/>
              <w:t xml:space="preserve">katrā reģionā. Šīm iniciatīvām jāizriet no pašu iedzīvotāju izvēles īpaši attiecīgās pašvaldības teritorijā rīkotās iedzīvotāju talkās/iedzīvotāju forumos </w:t>
            </w:r>
            <w:proofErr w:type="gramStart"/>
            <w:r w:rsidRPr="00EE0A56">
              <w:rPr>
                <w:rFonts w:cs="Times New Roman"/>
                <w:sz w:val="22"/>
              </w:rPr>
              <w:t>(</w:t>
            </w:r>
            <w:proofErr w:type="gramEnd"/>
            <w:r w:rsidRPr="00EE0A56">
              <w:rPr>
                <w:rFonts w:cs="Times New Roman"/>
                <w:sz w:val="22"/>
              </w:rPr>
              <w:t>organizētājs: reģionālais NVO centrs) un jāskar vismaz viena no trim tēmām: krīžu noturības veidošana, pašvaldībā pilsoniski aktīvo cilvēku loka paplašināšana vai pilsoniski aktīvu cilvēku saliedēšanu caur kopīgiem pasākumiem. Ja iedzīvotāju iniciatīvas realizēšanai vajadzīgs finansējums, tas jāsedz attiecīgā reģiona NVO centram no šī pasākuma līdzekļiem (tiem jābūt 4.3.4.9 pasākumā attiecināmiem līdzekļiem).</w:t>
            </w:r>
          </w:p>
          <w:p w14:paraId="054ACDEF" w14:textId="77777777" w:rsidR="00EE0A56" w:rsidRPr="00EE0A56" w:rsidRDefault="00EE0A56" w:rsidP="00EE0A56">
            <w:pPr>
              <w:pStyle w:val="Standard"/>
              <w:jc w:val="both"/>
              <w:rPr>
                <w:rFonts w:cs="Times New Roman"/>
                <w:sz w:val="22"/>
              </w:rPr>
            </w:pPr>
            <w:r w:rsidRPr="00EE0A56">
              <w:rPr>
                <w:rFonts w:cs="Times New Roman"/>
                <w:sz w:val="22"/>
              </w:rPr>
              <w:t xml:space="preserve">2. Fokusam ir jābūt uz tādu iedzīvotāju iesaisti un </w:t>
            </w:r>
            <w:proofErr w:type="spellStart"/>
            <w:r w:rsidRPr="00EE0A56">
              <w:rPr>
                <w:rFonts w:cs="Times New Roman"/>
                <w:sz w:val="22"/>
              </w:rPr>
              <w:t>mentorēšanu</w:t>
            </w:r>
            <w:proofErr w:type="spellEnd"/>
            <w:r w:rsidRPr="00EE0A56">
              <w:rPr>
                <w:rFonts w:cs="Times New Roman"/>
                <w:sz w:val="22"/>
              </w:rPr>
              <w:t xml:space="preserve">, kuriem </w:t>
            </w:r>
            <w:proofErr w:type="gramStart"/>
            <w:r w:rsidRPr="00EE0A56">
              <w:rPr>
                <w:rFonts w:cs="Times New Roman"/>
                <w:sz w:val="22"/>
              </w:rPr>
              <w:t>vai nu vispār nav bijusi iepriekšējā pilsoniskās iesaistes pieredze</w:t>
            </w:r>
            <w:proofErr w:type="gramEnd"/>
            <w:r w:rsidRPr="00EE0A56">
              <w:rPr>
                <w:rFonts w:cs="Times New Roman"/>
                <w:sz w:val="22"/>
              </w:rPr>
              <w:t xml:space="preserve"> vai arī tā nav bijusi regulāra (pilsoniskā iesaiste nav viņu ikdienas aktivitāte, piemēram, NVO vai vietējās pilsoniskās aktivitātēs). Šādiem cilvēkiem ir jābūt vismaz pusei no iedzīvotāju pašu iniciatīvu realizēšanā iesaistīto personu loka. Reģionālajiem NVO būtu arī jānodrošina tas, lai šie iedzīvotāji, ja paši to vēlētos, varētu palikt kontaktā (piemēram, īpašās WhatsApp grupās), saņemt regulāru informāciju par viņu teritorijā notiekošajiem citiem sabiedrības iesaistes pasākumiem un pēc iniciatīvu īstenošanas piedalīties arī dažādos apmācību un pieredzes apmaiņas pasākumos.</w:t>
            </w:r>
          </w:p>
          <w:p w14:paraId="21CAEC5E" w14:textId="77777777" w:rsidR="00EE0A56" w:rsidRPr="00EE0A56" w:rsidRDefault="00EE0A56" w:rsidP="00EE0A56">
            <w:pPr>
              <w:pStyle w:val="Standard"/>
              <w:jc w:val="both"/>
              <w:rPr>
                <w:rFonts w:cs="Times New Roman"/>
                <w:sz w:val="22"/>
              </w:rPr>
            </w:pPr>
            <w:r w:rsidRPr="00EE0A56">
              <w:rPr>
                <w:rFonts w:cs="Times New Roman"/>
                <w:sz w:val="22"/>
              </w:rPr>
              <w:t xml:space="preserve">3. Sabiedrības integrācijas fondam apmācību programma ir jāizstrādā, balstoties uz vietējo iedzīvotāju, kopienu, NVO nepieciešamo zināšanu un prasmju vajadzībām, kas izzinātas ar reģionālo NVO centru atbalstu. Balstoties uz izzinātajām vajadzībām Sabiedrības integrācijas fondam ir jāsniedz pietiekams metodiskais atbalsts reģionu NVO centriem (piemēram, specifiski piemērotas mācības vai pieredzes apmaiņas braucieni), lai tie varētu nodrošināt vajadzīgo </w:t>
            </w:r>
            <w:proofErr w:type="spellStart"/>
            <w:r w:rsidRPr="00EE0A56">
              <w:rPr>
                <w:rFonts w:cs="Times New Roman"/>
                <w:sz w:val="22"/>
              </w:rPr>
              <w:t>mentoringu</w:t>
            </w:r>
            <w:proofErr w:type="spellEnd"/>
            <w:r w:rsidRPr="00EE0A56">
              <w:rPr>
                <w:rFonts w:cs="Times New Roman"/>
                <w:sz w:val="22"/>
              </w:rPr>
              <w:t xml:space="preserve"> un atbalstu iedzīvotājiem, kopienām un NVO. SIF organizētajām mācībām un pieredzes apmaiņas braucieniem, tai skaitā arī uz ārzemēm, būtu jābūt pieejamiem ne tikai reģionu NVO centru pārstāvjiem, bet arī vietējiem aktīvistiem, kas sadarbībā ar reģionu NVO centriem realizē savas iniciatīvas.</w:t>
            </w:r>
          </w:p>
          <w:p w14:paraId="00DAA1E0" w14:textId="77777777" w:rsidR="00EE0A56" w:rsidRPr="00EE0A56" w:rsidRDefault="00EE0A56" w:rsidP="00EE0A56">
            <w:pPr>
              <w:pStyle w:val="Standard"/>
              <w:jc w:val="both"/>
              <w:rPr>
                <w:rFonts w:cs="Times New Roman"/>
                <w:sz w:val="22"/>
              </w:rPr>
            </w:pPr>
            <w:r w:rsidRPr="00EE0A56">
              <w:rPr>
                <w:rFonts w:cs="Times New Roman"/>
                <w:sz w:val="22"/>
              </w:rPr>
              <w:t xml:space="preserve">4.  SIF kā projekta vadītājiem būtu jāinformē plašāka sabiedrība par veiksmīgākajām šī pasākuma ietvaros realizētajām </w:t>
            </w:r>
            <w:r w:rsidRPr="00EE0A56">
              <w:rPr>
                <w:rFonts w:cs="Times New Roman"/>
                <w:sz w:val="22"/>
              </w:rPr>
              <w:lastRenderedPageBreak/>
              <w:t xml:space="preserve">iedzīvotāju pašu iniciatīvām, šādi parādot, ka no cilvēku pašorganizēšanās ir jēga un pievienotā vērtība. </w:t>
            </w:r>
          </w:p>
          <w:p w14:paraId="0E0CC4E2" w14:textId="5E80CC0A" w:rsidR="00EE0A56" w:rsidRPr="000054D9" w:rsidRDefault="00EE0A56" w:rsidP="00EE0A56">
            <w:pPr>
              <w:pStyle w:val="Standard"/>
              <w:jc w:val="both"/>
              <w:rPr>
                <w:rFonts w:cs="Times New Roman"/>
                <w:sz w:val="22"/>
              </w:rPr>
            </w:pPr>
            <w:r w:rsidRPr="00EE0A56">
              <w:rPr>
                <w:rFonts w:cs="Times New Roman"/>
                <w:sz w:val="22"/>
              </w:rPr>
              <w:t xml:space="preserve">5. Kultūras ministrijai un SIF kā projekta vadītājam būtu jāatrod vislabākās sinerģijas iespējas, bet vienlaikus arī demarkācija starp vairākiem projektiem, kas skar reģionu iedzīvotājus: 1) šo pasākumu; 2) ikgadējo Kultūras ministrijas atbalstu NVO centriem līdzdarbības līgumu formā; 3) NVO inkubatoru programmu </w:t>
            </w:r>
            <w:proofErr w:type="gramStart"/>
            <w:r w:rsidRPr="00EE0A56">
              <w:rPr>
                <w:rFonts w:cs="Times New Roman"/>
                <w:sz w:val="22"/>
              </w:rPr>
              <w:t>(</w:t>
            </w:r>
            <w:proofErr w:type="gramEnd"/>
            <w:r w:rsidRPr="00EE0A56">
              <w:rPr>
                <w:rFonts w:cs="Times New Roman"/>
                <w:sz w:val="22"/>
              </w:rPr>
              <w:t xml:space="preserve">Eiropas Savienības fonda projekts Nr. 4.3.4.5/1/24/I/001 "Atbalsts pilsoniskās sabiedrības organizāciju izaugsmei"), 4) reģionālo sociālo inovāciju programmu. Tāpat SIF būtu jāveic analīze par to, kā turpmāk, pēc šī pasākuma noslēguma, būtu sniedzams </w:t>
            </w:r>
            <w:proofErr w:type="spellStart"/>
            <w:r w:rsidRPr="00EE0A56">
              <w:rPr>
                <w:rFonts w:cs="Times New Roman"/>
                <w:sz w:val="22"/>
              </w:rPr>
              <w:t>mentorings</w:t>
            </w:r>
            <w:proofErr w:type="spellEnd"/>
            <w:r w:rsidRPr="00EE0A56">
              <w:rPr>
                <w:rFonts w:cs="Times New Roman"/>
                <w:sz w:val="22"/>
              </w:rPr>
              <w:t xml:space="preserve"> un atbalsts iedzīvotāju pašu iniciatīvām (kuras iedzīvotāji realizē ar saviem spēkiem, tam neizmantojot NVO formu).</w:t>
            </w:r>
          </w:p>
        </w:tc>
        <w:tc>
          <w:tcPr>
            <w:tcW w:w="2550" w:type="dxa"/>
          </w:tcPr>
          <w:p w14:paraId="73391A22" w14:textId="77777777" w:rsidR="00603043" w:rsidRDefault="44FE5619" w:rsidP="47386AC0">
            <w:pPr>
              <w:pStyle w:val="Standard"/>
              <w:jc w:val="both"/>
              <w:rPr>
                <w:rFonts w:cs="Times New Roman"/>
                <w:b/>
                <w:bCs/>
                <w:sz w:val="22"/>
              </w:rPr>
            </w:pPr>
            <w:r w:rsidRPr="47386AC0">
              <w:rPr>
                <w:rFonts w:cs="Times New Roman"/>
                <w:b/>
                <w:bCs/>
                <w:sz w:val="22"/>
              </w:rPr>
              <w:lastRenderedPageBreak/>
              <w:t>Ņemts vērā</w:t>
            </w:r>
          </w:p>
          <w:p w14:paraId="21FC6CFF" w14:textId="77777777" w:rsidR="00205426" w:rsidRDefault="00205426" w:rsidP="47386AC0">
            <w:pPr>
              <w:pStyle w:val="Standard"/>
              <w:jc w:val="both"/>
              <w:rPr>
                <w:rFonts w:cs="Times New Roman"/>
                <w:b/>
                <w:bCs/>
                <w:sz w:val="22"/>
              </w:rPr>
            </w:pPr>
          </w:p>
          <w:p w14:paraId="62A15458" w14:textId="77777777" w:rsidR="00205426" w:rsidRDefault="00205426" w:rsidP="47386AC0">
            <w:pPr>
              <w:pStyle w:val="Standard"/>
              <w:jc w:val="both"/>
              <w:rPr>
                <w:rFonts w:cs="Times New Roman"/>
                <w:sz w:val="22"/>
              </w:rPr>
            </w:pPr>
            <w:r w:rsidRPr="00205426">
              <w:rPr>
                <w:rFonts w:cs="Times New Roman"/>
                <w:sz w:val="22"/>
              </w:rPr>
              <w:t>Precizēt</w:t>
            </w:r>
            <w:r>
              <w:rPr>
                <w:rFonts w:cs="Times New Roman"/>
                <w:sz w:val="22"/>
              </w:rPr>
              <w:t>s</w:t>
            </w:r>
            <w:r w:rsidRPr="00205426">
              <w:rPr>
                <w:rFonts w:cs="Times New Roman"/>
                <w:sz w:val="22"/>
              </w:rPr>
              <w:t xml:space="preserve"> MK noteikumu</w:t>
            </w:r>
            <w:r>
              <w:rPr>
                <w:rFonts w:cs="Times New Roman"/>
                <w:sz w:val="22"/>
              </w:rPr>
              <w:t xml:space="preserve"> projekts:</w:t>
            </w:r>
          </w:p>
          <w:p w14:paraId="31CE6314" w14:textId="2F7FBC9C" w:rsidR="00205426" w:rsidRDefault="00205426" w:rsidP="00205426">
            <w:pPr>
              <w:pStyle w:val="Standard"/>
              <w:numPr>
                <w:ilvl w:val="0"/>
                <w:numId w:val="17"/>
              </w:numPr>
              <w:jc w:val="both"/>
              <w:rPr>
                <w:rFonts w:cs="Times New Roman"/>
                <w:sz w:val="22"/>
              </w:rPr>
            </w:pPr>
            <w:r>
              <w:rPr>
                <w:rFonts w:cs="Times New Roman"/>
                <w:sz w:val="22"/>
              </w:rPr>
              <w:t>Papildinot</w:t>
            </w:r>
            <w:proofErr w:type="gramStart"/>
            <w:r>
              <w:rPr>
                <w:rFonts w:cs="Times New Roman"/>
                <w:sz w:val="22"/>
              </w:rPr>
              <w:t xml:space="preserve"> </w:t>
            </w:r>
            <w:r w:rsidRPr="00205426">
              <w:rPr>
                <w:rFonts w:cs="Times New Roman"/>
                <w:sz w:val="22"/>
              </w:rPr>
              <w:t xml:space="preserve"> </w:t>
            </w:r>
            <w:proofErr w:type="gramEnd"/>
            <w:r>
              <w:rPr>
                <w:rFonts w:cs="Times New Roman"/>
                <w:sz w:val="22"/>
              </w:rPr>
              <w:t>23.punktā noteiktās atbalstāmās darbības;</w:t>
            </w:r>
          </w:p>
          <w:p w14:paraId="35D3B790" w14:textId="477C706A" w:rsidR="00205426" w:rsidRDefault="00205426" w:rsidP="00205426">
            <w:pPr>
              <w:pStyle w:val="Standard"/>
              <w:numPr>
                <w:ilvl w:val="0"/>
                <w:numId w:val="17"/>
              </w:numPr>
              <w:jc w:val="both"/>
              <w:rPr>
                <w:rFonts w:cs="Times New Roman"/>
                <w:sz w:val="22"/>
              </w:rPr>
            </w:pPr>
            <w:r>
              <w:rPr>
                <w:rFonts w:cs="Times New Roman"/>
                <w:sz w:val="22"/>
              </w:rPr>
              <w:t xml:space="preserve">36.punktā noteiktās finansējuma </w:t>
            </w:r>
            <w:r>
              <w:rPr>
                <w:rFonts w:cs="Times New Roman"/>
                <w:sz w:val="22"/>
              </w:rPr>
              <w:lastRenderedPageBreak/>
              <w:t>saņēmēja īstenojamās darbības;</w:t>
            </w:r>
          </w:p>
          <w:p w14:paraId="243A769F" w14:textId="0BF174BE" w:rsidR="00205426" w:rsidRDefault="00205426" w:rsidP="00205426">
            <w:pPr>
              <w:pStyle w:val="Standard"/>
              <w:numPr>
                <w:ilvl w:val="0"/>
                <w:numId w:val="17"/>
              </w:numPr>
              <w:jc w:val="both"/>
              <w:rPr>
                <w:rFonts w:cs="Times New Roman"/>
                <w:sz w:val="22"/>
              </w:rPr>
            </w:pPr>
            <w:r>
              <w:rPr>
                <w:rFonts w:cs="Times New Roman"/>
                <w:sz w:val="22"/>
              </w:rPr>
              <w:t>37.punktā noteiktās sadarbības partnera īstenojamās darbības.</w:t>
            </w:r>
          </w:p>
          <w:p w14:paraId="1FD55CDF" w14:textId="77777777" w:rsidR="00205426" w:rsidRDefault="00205426" w:rsidP="47386AC0">
            <w:pPr>
              <w:pStyle w:val="Standard"/>
              <w:jc w:val="both"/>
              <w:rPr>
                <w:rFonts w:cs="Times New Roman"/>
                <w:sz w:val="22"/>
              </w:rPr>
            </w:pPr>
          </w:p>
          <w:p w14:paraId="1AE9D04B" w14:textId="65D61334" w:rsidR="00205426" w:rsidRPr="00205426" w:rsidRDefault="00205426" w:rsidP="47386AC0">
            <w:pPr>
              <w:pStyle w:val="Standard"/>
              <w:jc w:val="both"/>
              <w:rPr>
                <w:rFonts w:cs="Times New Roman"/>
                <w:sz w:val="22"/>
              </w:rPr>
            </w:pPr>
          </w:p>
        </w:tc>
        <w:tc>
          <w:tcPr>
            <w:tcW w:w="2558" w:type="dxa"/>
          </w:tcPr>
          <w:p w14:paraId="16E89DF2" w14:textId="77777777" w:rsidR="00603043" w:rsidRPr="000054D9" w:rsidRDefault="00603043" w:rsidP="00603043">
            <w:pPr>
              <w:pStyle w:val="Standard"/>
              <w:jc w:val="both"/>
              <w:rPr>
                <w:rFonts w:cs="Times New Roman"/>
                <w:sz w:val="22"/>
              </w:rPr>
            </w:pPr>
          </w:p>
        </w:tc>
      </w:tr>
      <w:tr w:rsidR="00603043" w:rsidRPr="000054D9" w14:paraId="7D68D4D3" w14:textId="77777777" w:rsidTr="47386AC0">
        <w:tc>
          <w:tcPr>
            <w:tcW w:w="13948" w:type="dxa"/>
            <w:gridSpan w:val="5"/>
            <w:shd w:val="clear" w:color="auto" w:fill="C5E0B3" w:themeFill="accent6" w:themeFillTint="66"/>
          </w:tcPr>
          <w:p w14:paraId="3FC1806E" w14:textId="3935BC99" w:rsidR="00603043" w:rsidRPr="000054D9" w:rsidRDefault="00603043" w:rsidP="00603043">
            <w:pPr>
              <w:pStyle w:val="Standard"/>
              <w:jc w:val="both"/>
              <w:rPr>
                <w:rFonts w:cs="Times New Roman"/>
                <w:b/>
                <w:bCs/>
                <w:sz w:val="22"/>
              </w:rPr>
            </w:pPr>
            <w:r w:rsidRPr="000054D9">
              <w:rPr>
                <w:rFonts w:cs="Times New Roman"/>
                <w:b/>
                <w:bCs/>
                <w:sz w:val="22"/>
              </w:rPr>
              <w:lastRenderedPageBreak/>
              <w:t>Par kritēriju piemērošanas metodiku</w:t>
            </w:r>
          </w:p>
        </w:tc>
      </w:tr>
      <w:tr w:rsidR="00603043" w:rsidRPr="000054D9" w14:paraId="39AC4F61" w14:textId="77777777" w:rsidTr="47386AC0">
        <w:tc>
          <w:tcPr>
            <w:tcW w:w="555" w:type="dxa"/>
          </w:tcPr>
          <w:p w14:paraId="594E3FAD"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tcPr>
          <w:p w14:paraId="29EDC44A" w14:textId="2BC767C5" w:rsidR="00603043" w:rsidRPr="000054D9" w:rsidRDefault="00603043" w:rsidP="00603043">
            <w:pPr>
              <w:pStyle w:val="Standard"/>
              <w:jc w:val="both"/>
              <w:rPr>
                <w:rFonts w:cs="Times New Roman"/>
                <w:b/>
                <w:bCs/>
                <w:sz w:val="22"/>
              </w:rPr>
            </w:pPr>
            <w:r>
              <w:rPr>
                <w:rFonts w:cs="Times New Roman"/>
                <w:b/>
                <w:bCs/>
                <w:sz w:val="22"/>
              </w:rPr>
              <w:t>V</w:t>
            </w:r>
            <w:r w:rsidRPr="00603043">
              <w:rPr>
                <w:rFonts w:cs="Times New Roman"/>
                <w:b/>
                <w:bCs/>
                <w:sz w:val="22"/>
              </w:rPr>
              <w:t>ienot</w:t>
            </w:r>
            <w:r>
              <w:rPr>
                <w:rFonts w:cs="Times New Roman"/>
                <w:b/>
                <w:bCs/>
                <w:sz w:val="22"/>
              </w:rPr>
              <w:t>ais</w:t>
            </w:r>
            <w:r w:rsidRPr="00603043">
              <w:rPr>
                <w:rFonts w:cs="Times New Roman"/>
                <w:b/>
                <w:bCs/>
                <w:sz w:val="22"/>
              </w:rPr>
              <w:t xml:space="preserve"> kritērij</w:t>
            </w:r>
            <w:r>
              <w:rPr>
                <w:rFonts w:cs="Times New Roman"/>
                <w:b/>
                <w:bCs/>
                <w:sz w:val="22"/>
              </w:rPr>
              <w:t xml:space="preserve">s </w:t>
            </w:r>
            <w:r w:rsidRPr="00603043">
              <w:rPr>
                <w:rFonts w:cs="Times New Roman"/>
                <w:b/>
                <w:bCs/>
                <w:sz w:val="22"/>
              </w:rPr>
              <w:t>Nr.1.6.</w:t>
            </w:r>
          </w:p>
        </w:tc>
        <w:tc>
          <w:tcPr>
            <w:tcW w:w="5803" w:type="dxa"/>
          </w:tcPr>
          <w:p w14:paraId="57D58425"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416CAA5D" w14:textId="77777777" w:rsidR="00603043" w:rsidRDefault="00603043" w:rsidP="00603043">
            <w:pPr>
              <w:pStyle w:val="Standard"/>
              <w:jc w:val="both"/>
              <w:rPr>
                <w:rFonts w:cs="Times New Roman"/>
                <w:sz w:val="22"/>
              </w:rPr>
            </w:pPr>
          </w:p>
          <w:p w14:paraId="219008B3" w14:textId="2D50DF45" w:rsidR="00603043" w:rsidRPr="000054D9" w:rsidRDefault="00603043" w:rsidP="00603043">
            <w:pPr>
              <w:pStyle w:val="Standard"/>
              <w:jc w:val="both"/>
              <w:rPr>
                <w:rFonts w:cs="Times New Roman"/>
                <w:sz w:val="22"/>
              </w:rPr>
            </w:pPr>
            <w:r>
              <w:rPr>
                <w:rFonts w:cs="Times New Roman"/>
                <w:sz w:val="22"/>
              </w:rPr>
              <w:t>V</w:t>
            </w:r>
            <w:r w:rsidRPr="00603043">
              <w:rPr>
                <w:rFonts w:cs="Times New Roman"/>
                <w:sz w:val="22"/>
              </w:rPr>
              <w:t>ienotā kritērija Nr.1.6. ietvaros aizstāt vārdus "publicitātes un informācijas izplatīšanas pasākumi" ar vārdiem "komunikācijas un vizuālās identitātes prasību nodrošināšanas nosacījumi";</w:t>
            </w:r>
          </w:p>
        </w:tc>
        <w:tc>
          <w:tcPr>
            <w:tcW w:w="2550" w:type="dxa"/>
          </w:tcPr>
          <w:p w14:paraId="2DAA8F40" w14:textId="4388137D" w:rsidR="00603043" w:rsidRPr="000054D9" w:rsidRDefault="3648FAA7" w:rsidP="50E68041">
            <w:pPr>
              <w:pStyle w:val="Standard"/>
              <w:jc w:val="both"/>
              <w:rPr>
                <w:rFonts w:cs="Times New Roman"/>
                <w:sz w:val="22"/>
              </w:rPr>
            </w:pPr>
            <w:r w:rsidRPr="50E68041">
              <w:rPr>
                <w:rFonts w:cs="Times New Roman"/>
                <w:b/>
                <w:bCs/>
                <w:sz w:val="22"/>
              </w:rPr>
              <w:t>Ņemts vērā</w:t>
            </w:r>
          </w:p>
        </w:tc>
        <w:tc>
          <w:tcPr>
            <w:tcW w:w="2558" w:type="dxa"/>
          </w:tcPr>
          <w:p w14:paraId="03464406" w14:textId="77777777" w:rsidR="00603043" w:rsidRPr="000054D9" w:rsidRDefault="00603043" w:rsidP="00603043">
            <w:pPr>
              <w:pStyle w:val="Standard"/>
              <w:jc w:val="both"/>
              <w:rPr>
                <w:rFonts w:cs="Times New Roman"/>
                <w:sz w:val="22"/>
              </w:rPr>
            </w:pPr>
          </w:p>
        </w:tc>
      </w:tr>
      <w:tr w:rsidR="00603043" w:rsidRPr="000054D9" w14:paraId="7CE2B13B" w14:textId="77777777" w:rsidTr="47386AC0">
        <w:tc>
          <w:tcPr>
            <w:tcW w:w="555" w:type="dxa"/>
          </w:tcPr>
          <w:p w14:paraId="3814331A"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vMerge w:val="restart"/>
          </w:tcPr>
          <w:p w14:paraId="79F9319A" w14:textId="6282BFDA" w:rsidR="00603043" w:rsidRPr="000054D9" w:rsidRDefault="00603043" w:rsidP="00603043">
            <w:pPr>
              <w:pStyle w:val="Standard"/>
              <w:jc w:val="both"/>
              <w:rPr>
                <w:rFonts w:cs="Times New Roman"/>
                <w:b/>
                <w:bCs/>
                <w:sz w:val="22"/>
              </w:rPr>
            </w:pPr>
            <w:r>
              <w:rPr>
                <w:rFonts w:cs="Times New Roman"/>
                <w:b/>
                <w:bCs/>
                <w:sz w:val="22"/>
              </w:rPr>
              <w:t>V</w:t>
            </w:r>
            <w:r w:rsidRPr="00603043">
              <w:rPr>
                <w:rFonts w:cs="Times New Roman"/>
                <w:b/>
                <w:bCs/>
                <w:sz w:val="22"/>
              </w:rPr>
              <w:t>ienot</w:t>
            </w:r>
            <w:r>
              <w:rPr>
                <w:rFonts w:cs="Times New Roman"/>
                <w:b/>
                <w:bCs/>
                <w:sz w:val="22"/>
              </w:rPr>
              <w:t>ais</w:t>
            </w:r>
            <w:r w:rsidRPr="00603043">
              <w:rPr>
                <w:rFonts w:cs="Times New Roman"/>
                <w:b/>
                <w:bCs/>
                <w:sz w:val="22"/>
              </w:rPr>
              <w:t xml:space="preserve"> kritērij</w:t>
            </w:r>
            <w:r>
              <w:rPr>
                <w:rFonts w:cs="Times New Roman"/>
                <w:b/>
                <w:bCs/>
                <w:sz w:val="22"/>
              </w:rPr>
              <w:t xml:space="preserve">s </w:t>
            </w:r>
            <w:r w:rsidRPr="00603043">
              <w:rPr>
                <w:rFonts w:cs="Times New Roman"/>
                <w:b/>
                <w:bCs/>
                <w:sz w:val="22"/>
              </w:rPr>
              <w:t>Nr.</w:t>
            </w:r>
            <w:r>
              <w:rPr>
                <w:rFonts w:cs="Times New Roman"/>
                <w:b/>
                <w:bCs/>
                <w:sz w:val="22"/>
              </w:rPr>
              <w:t xml:space="preserve"> 1.8.</w:t>
            </w:r>
          </w:p>
        </w:tc>
        <w:tc>
          <w:tcPr>
            <w:tcW w:w="5803" w:type="dxa"/>
          </w:tcPr>
          <w:p w14:paraId="01386282"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6B27D6F0" w14:textId="77777777" w:rsidR="00603043" w:rsidRDefault="00603043" w:rsidP="00603043">
            <w:pPr>
              <w:pStyle w:val="Standard"/>
              <w:jc w:val="both"/>
              <w:rPr>
                <w:rFonts w:cs="Times New Roman"/>
                <w:sz w:val="22"/>
              </w:rPr>
            </w:pPr>
          </w:p>
          <w:p w14:paraId="67F0D3E2" w14:textId="785F7671" w:rsidR="00603043" w:rsidRPr="000054D9" w:rsidRDefault="00603043" w:rsidP="00603043">
            <w:pPr>
              <w:pStyle w:val="Standard"/>
              <w:jc w:val="both"/>
              <w:rPr>
                <w:rFonts w:cs="Times New Roman"/>
                <w:sz w:val="22"/>
              </w:rPr>
            </w:pPr>
            <w:r>
              <w:rPr>
                <w:rFonts w:cs="Times New Roman"/>
                <w:sz w:val="22"/>
              </w:rPr>
              <w:t>V</w:t>
            </w:r>
            <w:r w:rsidRPr="00603043">
              <w:rPr>
                <w:rFonts w:cs="Times New Roman"/>
                <w:sz w:val="22"/>
              </w:rPr>
              <w:t>ienotā kritērija Nr.1.8. ietvaros precizēt iznākuma rādītāju atbilstoši Ministru kabineta (turpmāk – MK) noteikumu 8.1.apakšpunktam, kur "iznākuma rādītājs – nacionāla, reģionāla vai vietēja mēroga valsts administrācijas vai sabiedrisko pakalpojumu iestāžu un pakalpojumu skaits, kas saņēmušas atbalstu, – 6, tai skaitā līdz 2024. gada 31. decembrim – 1";</w:t>
            </w:r>
          </w:p>
        </w:tc>
        <w:tc>
          <w:tcPr>
            <w:tcW w:w="2550" w:type="dxa"/>
          </w:tcPr>
          <w:p w14:paraId="7ACDCD2A" w14:textId="4388137D" w:rsidR="00603043" w:rsidRPr="000054D9" w:rsidRDefault="37E727CA" w:rsidP="47386AC0">
            <w:pPr>
              <w:pStyle w:val="Standard"/>
              <w:jc w:val="both"/>
              <w:rPr>
                <w:rFonts w:cs="Times New Roman"/>
                <w:sz w:val="22"/>
              </w:rPr>
            </w:pPr>
            <w:r w:rsidRPr="47386AC0">
              <w:rPr>
                <w:rFonts w:cs="Times New Roman"/>
                <w:b/>
                <w:bCs/>
                <w:sz w:val="22"/>
              </w:rPr>
              <w:t>Ņemts vērā</w:t>
            </w:r>
          </w:p>
          <w:p w14:paraId="1CFD7785" w14:textId="3616EBC3" w:rsidR="00603043" w:rsidRPr="000054D9" w:rsidRDefault="00603043" w:rsidP="19D93A2C">
            <w:pPr>
              <w:pStyle w:val="Standard"/>
              <w:jc w:val="both"/>
              <w:rPr>
                <w:rFonts w:cs="Times New Roman"/>
                <w:sz w:val="22"/>
              </w:rPr>
            </w:pPr>
          </w:p>
        </w:tc>
        <w:tc>
          <w:tcPr>
            <w:tcW w:w="2558" w:type="dxa"/>
          </w:tcPr>
          <w:p w14:paraId="42DEEACE" w14:textId="77777777" w:rsidR="00603043" w:rsidRPr="000054D9" w:rsidRDefault="00603043" w:rsidP="00603043">
            <w:pPr>
              <w:pStyle w:val="Standard"/>
              <w:jc w:val="both"/>
              <w:rPr>
                <w:rFonts w:cs="Times New Roman"/>
                <w:sz w:val="22"/>
              </w:rPr>
            </w:pPr>
          </w:p>
        </w:tc>
      </w:tr>
      <w:tr w:rsidR="00603043" w:rsidRPr="000054D9" w14:paraId="3AE86F74" w14:textId="77777777" w:rsidTr="47386AC0">
        <w:tc>
          <w:tcPr>
            <w:tcW w:w="555" w:type="dxa"/>
          </w:tcPr>
          <w:p w14:paraId="607446B7"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vMerge/>
          </w:tcPr>
          <w:p w14:paraId="67C9B6B7" w14:textId="77777777" w:rsidR="00603043" w:rsidRPr="000054D9" w:rsidRDefault="00603043" w:rsidP="00603043">
            <w:pPr>
              <w:pStyle w:val="Standard"/>
              <w:jc w:val="both"/>
              <w:rPr>
                <w:rFonts w:cs="Times New Roman"/>
                <w:b/>
                <w:bCs/>
                <w:sz w:val="22"/>
              </w:rPr>
            </w:pPr>
          </w:p>
        </w:tc>
        <w:tc>
          <w:tcPr>
            <w:tcW w:w="5803" w:type="dxa"/>
          </w:tcPr>
          <w:p w14:paraId="60EE3939"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2E163426" w14:textId="77777777" w:rsidR="00603043" w:rsidRDefault="00603043" w:rsidP="00603043">
            <w:pPr>
              <w:pStyle w:val="Standard"/>
              <w:jc w:val="both"/>
              <w:rPr>
                <w:rFonts w:cs="Times New Roman"/>
                <w:sz w:val="22"/>
              </w:rPr>
            </w:pPr>
          </w:p>
          <w:p w14:paraId="40737B53" w14:textId="025F85AE" w:rsidR="00603043" w:rsidRPr="000054D9" w:rsidRDefault="00603043" w:rsidP="00603043">
            <w:pPr>
              <w:pStyle w:val="Standard"/>
              <w:jc w:val="both"/>
              <w:rPr>
                <w:rFonts w:cs="Times New Roman"/>
                <w:sz w:val="22"/>
              </w:rPr>
            </w:pPr>
            <w:r>
              <w:rPr>
                <w:rFonts w:cs="Times New Roman"/>
                <w:sz w:val="22"/>
              </w:rPr>
              <w:t>V</w:t>
            </w:r>
            <w:r w:rsidRPr="00603043">
              <w:rPr>
                <w:rFonts w:cs="Times New Roman"/>
                <w:sz w:val="22"/>
              </w:rPr>
              <w:t>ienotā kritērija Nr.1.8. ietvaros precizēt rezultāta rādītāju atbilstoši MK noteikumu 8.2.apakšpunktam, kur ir minēts 60, nevis 120. Norādām, ka rādītāju pasē 23.lp. sasniedzamā vērtība ir norādīta 360;</w:t>
            </w:r>
          </w:p>
        </w:tc>
        <w:tc>
          <w:tcPr>
            <w:tcW w:w="2550" w:type="dxa"/>
          </w:tcPr>
          <w:p w14:paraId="736D2081" w14:textId="7DDBBA47" w:rsidR="00603043" w:rsidRPr="000054D9" w:rsidRDefault="00594A0D" w:rsidP="47386AC0">
            <w:pPr>
              <w:pStyle w:val="Standard"/>
              <w:jc w:val="both"/>
              <w:rPr>
                <w:rFonts w:cs="Times New Roman"/>
                <w:b/>
                <w:bCs/>
                <w:sz w:val="22"/>
              </w:rPr>
            </w:pPr>
            <w:r>
              <w:rPr>
                <w:rFonts w:cs="Times New Roman"/>
                <w:b/>
                <w:bCs/>
                <w:sz w:val="22"/>
              </w:rPr>
              <w:t>Ņemts vērā</w:t>
            </w:r>
          </w:p>
          <w:p w14:paraId="44F45C02" w14:textId="640CE733" w:rsidR="47386AC0" w:rsidRDefault="47386AC0" w:rsidP="47386AC0">
            <w:pPr>
              <w:pStyle w:val="Standard"/>
              <w:jc w:val="both"/>
              <w:rPr>
                <w:rFonts w:cs="Times New Roman"/>
                <w:b/>
                <w:bCs/>
                <w:sz w:val="22"/>
              </w:rPr>
            </w:pPr>
          </w:p>
          <w:p w14:paraId="294EE7C2" w14:textId="649BF2D6" w:rsidR="00603043" w:rsidRPr="000054D9" w:rsidRDefault="00594A0D" w:rsidP="44C0FD7D">
            <w:pPr>
              <w:pStyle w:val="Standard"/>
              <w:jc w:val="both"/>
            </w:pPr>
            <w:r>
              <w:rPr>
                <w:rFonts w:cs="Times New Roman"/>
                <w:sz w:val="22"/>
              </w:rPr>
              <w:t>Vienlaikus in</w:t>
            </w:r>
            <w:r w:rsidR="27448A6B" w:rsidRPr="47386AC0">
              <w:rPr>
                <w:rFonts w:cs="Times New Roman"/>
                <w:sz w:val="22"/>
              </w:rPr>
              <w:t>formējam,</w:t>
            </w:r>
            <w:r w:rsidR="0F36C741" w:rsidRPr="47386AC0">
              <w:rPr>
                <w:rFonts w:cs="Times New Roman"/>
                <w:sz w:val="22"/>
              </w:rPr>
              <w:t xml:space="preserve"> ka</w:t>
            </w:r>
            <w:r w:rsidR="27448A6B" w:rsidRPr="47386AC0">
              <w:rPr>
                <w:rFonts w:cs="Times New Roman"/>
                <w:sz w:val="22"/>
              </w:rPr>
              <w:t xml:space="preserve"> </w:t>
            </w:r>
            <w:r w:rsidR="63B2DB69" w:rsidRPr="47386AC0">
              <w:rPr>
                <w:rFonts w:cs="Times New Roman"/>
                <w:sz w:val="22"/>
              </w:rPr>
              <w:t>Kult</w:t>
            </w:r>
            <w:r w:rsidR="7E861531" w:rsidRPr="47386AC0">
              <w:rPr>
                <w:rFonts w:cs="Times New Roman"/>
                <w:sz w:val="22"/>
              </w:rPr>
              <w:t xml:space="preserve">ūras </w:t>
            </w:r>
            <w:r w:rsidR="63B2DB69" w:rsidRPr="47386AC0">
              <w:rPr>
                <w:rFonts w:cs="Times New Roman"/>
                <w:sz w:val="22"/>
              </w:rPr>
              <w:t xml:space="preserve">ministrija </w:t>
            </w:r>
            <w:r w:rsidR="27448A6B" w:rsidRPr="47386AC0">
              <w:rPr>
                <w:rFonts w:cs="Times New Roman"/>
                <w:sz w:val="22"/>
              </w:rPr>
              <w:t>1</w:t>
            </w:r>
            <w:r w:rsidR="4DE93BAE" w:rsidRPr="47386AC0">
              <w:rPr>
                <w:rFonts w:cs="Times New Roman"/>
                <w:sz w:val="22"/>
              </w:rPr>
              <w:t>4</w:t>
            </w:r>
            <w:r w:rsidR="27448A6B" w:rsidRPr="47386AC0">
              <w:rPr>
                <w:rFonts w:cs="Times New Roman"/>
                <w:sz w:val="22"/>
              </w:rPr>
              <w:t>.05.2024.</w:t>
            </w:r>
            <w:r w:rsidR="4B7F1A42" w:rsidRPr="47386AC0">
              <w:rPr>
                <w:rFonts w:cs="Times New Roman"/>
                <w:sz w:val="22"/>
              </w:rPr>
              <w:t xml:space="preserve"> </w:t>
            </w:r>
            <w:r w:rsidR="10955C70" w:rsidRPr="47386AC0">
              <w:rPr>
                <w:rFonts w:cs="Times New Roman"/>
                <w:sz w:val="22"/>
              </w:rPr>
              <w:t>i</w:t>
            </w:r>
            <w:r w:rsidR="4B7F1A42" w:rsidRPr="47386AC0">
              <w:rPr>
                <w:rFonts w:cs="Times New Roman"/>
                <w:sz w:val="22"/>
              </w:rPr>
              <w:t>r nosūtījusi precizētu</w:t>
            </w:r>
            <w:r w:rsidR="58570DA2" w:rsidRPr="47386AC0">
              <w:rPr>
                <w:rFonts w:cs="Times New Roman"/>
                <w:sz w:val="22"/>
              </w:rPr>
              <w:t xml:space="preserve"> </w:t>
            </w:r>
            <w:r w:rsidR="58570DA2" w:rsidRPr="47386AC0">
              <w:rPr>
                <w:rFonts w:eastAsia="Times New Roman" w:cs="Times New Roman"/>
                <w:sz w:val="22"/>
              </w:rPr>
              <w:t>4.3.4.SAM rādītāju metodoloģijas aprakstu</w:t>
            </w:r>
            <w:r>
              <w:rPr>
                <w:rFonts w:eastAsia="Times New Roman" w:cs="Times New Roman"/>
                <w:sz w:val="22"/>
              </w:rPr>
              <w:t>.</w:t>
            </w:r>
          </w:p>
        </w:tc>
        <w:tc>
          <w:tcPr>
            <w:tcW w:w="2558" w:type="dxa"/>
          </w:tcPr>
          <w:p w14:paraId="531DD7B0" w14:textId="77777777" w:rsidR="00603043" w:rsidRPr="000054D9" w:rsidRDefault="00603043" w:rsidP="00603043">
            <w:pPr>
              <w:pStyle w:val="Standard"/>
              <w:jc w:val="both"/>
              <w:rPr>
                <w:rFonts w:cs="Times New Roman"/>
                <w:sz w:val="22"/>
              </w:rPr>
            </w:pPr>
          </w:p>
        </w:tc>
      </w:tr>
      <w:tr w:rsidR="005340A2" w:rsidRPr="000054D9" w14:paraId="37C066BD" w14:textId="77777777" w:rsidTr="47386AC0">
        <w:tc>
          <w:tcPr>
            <w:tcW w:w="555" w:type="dxa"/>
          </w:tcPr>
          <w:p w14:paraId="28F25C31" w14:textId="77777777" w:rsidR="005340A2" w:rsidRPr="000054D9" w:rsidRDefault="005340A2" w:rsidP="00603043">
            <w:pPr>
              <w:pStyle w:val="Standard"/>
              <w:numPr>
                <w:ilvl w:val="0"/>
                <w:numId w:val="14"/>
              </w:numPr>
              <w:ind w:hanging="1049"/>
              <w:jc w:val="center"/>
              <w:rPr>
                <w:b/>
                <w:bCs/>
                <w:sz w:val="22"/>
              </w:rPr>
            </w:pPr>
          </w:p>
        </w:tc>
        <w:tc>
          <w:tcPr>
            <w:tcW w:w="2482" w:type="dxa"/>
          </w:tcPr>
          <w:p w14:paraId="74C78F7A" w14:textId="01515D55" w:rsidR="005340A2" w:rsidRPr="000054D9" w:rsidRDefault="005340A2" w:rsidP="00603043">
            <w:pPr>
              <w:pStyle w:val="Standard"/>
              <w:jc w:val="both"/>
              <w:rPr>
                <w:b/>
                <w:bCs/>
                <w:sz w:val="22"/>
              </w:rPr>
            </w:pPr>
            <w:r>
              <w:rPr>
                <w:rFonts w:cs="Times New Roman"/>
                <w:b/>
                <w:bCs/>
                <w:sz w:val="22"/>
              </w:rPr>
              <w:t>V</w:t>
            </w:r>
            <w:r w:rsidRPr="00603043">
              <w:rPr>
                <w:rFonts w:cs="Times New Roman"/>
                <w:b/>
                <w:bCs/>
                <w:sz w:val="22"/>
              </w:rPr>
              <w:t>ienot</w:t>
            </w:r>
            <w:r>
              <w:rPr>
                <w:rFonts w:cs="Times New Roman"/>
                <w:b/>
                <w:bCs/>
                <w:sz w:val="22"/>
              </w:rPr>
              <w:t>ais</w:t>
            </w:r>
            <w:r w:rsidRPr="00603043">
              <w:rPr>
                <w:rFonts w:cs="Times New Roman"/>
                <w:b/>
                <w:bCs/>
                <w:sz w:val="22"/>
              </w:rPr>
              <w:t xml:space="preserve"> kritērij</w:t>
            </w:r>
            <w:r>
              <w:rPr>
                <w:rFonts w:cs="Times New Roman"/>
                <w:b/>
                <w:bCs/>
                <w:sz w:val="22"/>
              </w:rPr>
              <w:t xml:space="preserve">s </w:t>
            </w:r>
            <w:r w:rsidRPr="00603043">
              <w:rPr>
                <w:rFonts w:cs="Times New Roman"/>
                <w:b/>
                <w:bCs/>
                <w:sz w:val="22"/>
              </w:rPr>
              <w:t>Nr.</w:t>
            </w:r>
            <w:r>
              <w:rPr>
                <w:rFonts w:cs="Times New Roman"/>
                <w:b/>
                <w:bCs/>
                <w:sz w:val="22"/>
              </w:rPr>
              <w:t xml:space="preserve"> 1.8.</w:t>
            </w:r>
          </w:p>
        </w:tc>
        <w:tc>
          <w:tcPr>
            <w:tcW w:w="5803" w:type="dxa"/>
          </w:tcPr>
          <w:p w14:paraId="1C4058D9" w14:textId="690B5A22" w:rsidR="005340A2" w:rsidRDefault="005340A2" w:rsidP="00603043">
            <w:pPr>
              <w:pStyle w:val="Standard"/>
              <w:jc w:val="both"/>
              <w:rPr>
                <w:b/>
                <w:bCs/>
                <w:sz w:val="22"/>
              </w:rPr>
            </w:pPr>
            <w:r>
              <w:rPr>
                <w:b/>
                <w:bCs/>
                <w:sz w:val="22"/>
              </w:rPr>
              <w:t>Finanšu ministrija (SD)</w:t>
            </w:r>
          </w:p>
          <w:p w14:paraId="0C60C9B0" w14:textId="77777777" w:rsidR="005340A2" w:rsidRDefault="005340A2" w:rsidP="00603043">
            <w:pPr>
              <w:pStyle w:val="Standard"/>
              <w:jc w:val="both"/>
              <w:rPr>
                <w:b/>
                <w:bCs/>
                <w:sz w:val="22"/>
              </w:rPr>
            </w:pPr>
          </w:p>
          <w:p w14:paraId="26D826B2" w14:textId="76ABBEA3" w:rsidR="005340A2" w:rsidRPr="00603043" w:rsidRDefault="005340A2" w:rsidP="00290BFC">
            <w:pPr>
              <w:pStyle w:val="Standard"/>
              <w:jc w:val="both"/>
              <w:rPr>
                <w:b/>
                <w:bCs/>
                <w:sz w:val="22"/>
              </w:rPr>
            </w:pPr>
            <w:r w:rsidRPr="005340A2">
              <w:rPr>
                <w:sz w:val="22"/>
              </w:rPr>
              <w:t xml:space="preserve">Lūdzam precizēt kritēriju metodikas 1.8. vienotā kritērija skaidrojumā rezultāta </w:t>
            </w:r>
            <w:r>
              <w:rPr>
                <w:sz w:val="22"/>
              </w:rPr>
              <w:t xml:space="preserve">un iznākuma </w:t>
            </w:r>
            <w:r w:rsidRPr="005340A2">
              <w:rPr>
                <w:sz w:val="22"/>
              </w:rPr>
              <w:t>rādītāj</w:t>
            </w:r>
            <w:r>
              <w:rPr>
                <w:sz w:val="22"/>
              </w:rPr>
              <w:t xml:space="preserve">us </w:t>
            </w:r>
            <w:r w:rsidRPr="005340A2">
              <w:rPr>
                <w:sz w:val="22"/>
              </w:rPr>
              <w:t xml:space="preserve">atbilstoši </w:t>
            </w:r>
            <w:r w:rsidR="00290BFC">
              <w:rPr>
                <w:sz w:val="22"/>
              </w:rPr>
              <w:t xml:space="preserve">ierosinātajiem grozījumiem </w:t>
            </w:r>
            <w:r w:rsidRPr="005340A2">
              <w:rPr>
                <w:sz w:val="22"/>
              </w:rPr>
              <w:t>Eiropas Savienības kohēzijas politikas programm</w:t>
            </w:r>
            <w:r w:rsidR="00290BFC">
              <w:rPr>
                <w:sz w:val="22"/>
              </w:rPr>
              <w:t>ā</w:t>
            </w:r>
            <w:r w:rsidRPr="005340A2">
              <w:rPr>
                <w:sz w:val="22"/>
              </w:rPr>
              <w:t xml:space="preserve"> 2021.-2027. gadam</w:t>
            </w:r>
            <w:r w:rsidR="00290BFC">
              <w:rPr>
                <w:sz w:val="22"/>
              </w:rPr>
              <w:t>.</w:t>
            </w:r>
          </w:p>
        </w:tc>
        <w:tc>
          <w:tcPr>
            <w:tcW w:w="2550" w:type="dxa"/>
          </w:tcPr>
          <w:p w14:paraId="454C9EB0" w14:textId="26623E7A" w:rsidR="005340A2" w:rsidRPr="000054D9" w:rsidRDefault="3A609621" w:rsidP="59E944C4">
            <w:pPr>
              <w:pStyle w:val="Standard"/>
              <w:jc w:val="both"/>
              <w:rPr>
                <w:rFonts w:cs="Times New Roman"/>
                <w:b/>
                <w:bCs/>
                <w:sz w:val="22"/>
              </w:rPr>
            </w:pPr>
            <w:r w:rsidRPr="47386AC0">
              <w:rPr>
                <w:rFonts w:cs="Times New Roman"/>
                <w:b/>
                <w:bCs/>
                <w:sz w:val="22"/>
              </w:rPr>
              <w:t>Ņemts vērā</w:t>
            </w:r>
          </w:p>
          <w:p w14:paraId="4D513961" w14:textId="341D08A5" w:rsidR="005340A2" w:rsidRPr="000054D9" w:rsidRDefault="005340A2" w:rsidP="44C0FD7D">
            <w:pPr>
              <w:pStyle w:val="Standard"/>
              <w:jc w:val="both"/>
              <w:rPr>
                <w:sz w:val="22"/>
              </w:rPr>
            </w:pPr>
          </w:p>
        </w:tc>
        <w:tc>
          <w:tcPr>
            <w:tcW w:w="2558" w:type="dxa"/>
          </w:tcPr>
          <w:p w14:paraId="4013195A" w14:textId="77777777" w:rsidR="005340A2" w:rsidRPr="000054D9" w:rsidRDefault="005340A2" w:rsidP="00603043">
            <w:pPr>
              <w:pStyle w:val="Standard"/>
              <w:jc w:val="both"/>
              <w:rPr>
                <w:sz w:val="22"/>
              </w:rPr>
            </w:pPr>
          </w:p>
        </w:tc>
      </w:tr>
      <w:tr w:rsidR="00603043" w:rsidRPr="000054D9" w14:paraId="55CCD9C1" w14:textId="77777777" w:rsidTr="47386AC0">
        <w:tc>
          <w:tcPr>
            <w:tcW w:w="555" w:type="dxa"/>
          </w:tcPr>
          <w:p w14:paraId="3F705F7A"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vMerge w:val="restart"/>
          </w:tcPr>
          <w:p w14:paraId="550BB3B2" w14:textId="52A8E319" w:rsidR="00603043" w:rsidRPr="000054D9" w:rsidRDefault="00603043" w:rsidP="00603043">
            <w:pPr>
              <w:pStyle w:val="Standard"/>
              <w:jc w:val="both"/>
              <w:rPr>
                <w:rFonts w:cs="Times New Roman"/>
                <w:b/>
                <w:bCs/>
                <w:sz w:val="22"/>
              </w:rPr>
            </w:pPr>
            <w:r w:rsidRPr="00603043">
              <w:rPr>
                <w:rFonts w:cs="Times New Roman"/>
                <w:b/>
                <w:bCs/>
                <w:sz w:val="22"/>
              </w:rPr>
              <w:t>Vienotais</w:t>
            </w:r>
            <w:r>
              <w:rPr>
                <w:rFonts w:cs="Times New Roman"/>
                <w:b/>
                <w:bCs/>
                <w:sz w:val="22"/>
              </w:rPr>
              <w:t xml:space="preserve"> izvēles</w:t>
            </w:r>
            <w:r w:rsidRPr="00603043">
              <w:rPr>
                <w:rFonts w:cs="Times New Roman"/>
                <w:b/>
                <w:bCs/>
                <w:sz w:val="22"/>
              </w:rPr>
              <w:t xml:space="preserve"> kritērijs Nr. </w:t>
            </w:r>
            <w:r>
              <w:rPr>
                <w:rFonts w:cs="Times New Roman"/>
                <w:b/>
                <w:bCs/>
                <w:sz w:val="22"/>
              </w:rPr>
              <w:t>2.1.</w:t>
            </w:r>
          </w:p>
        </w:tc>
        <w:tc>
          <w:tcPr>
            <w:tcW w:w="5803" w:type="dxa"/>
          </w:tcPr>
          <w:p w14:paraId="243FBDD4"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3C622577" w14:textId="77777777" w:rsidR="00603043" w:rsidRDefault="00603043" w:rsidP="00603043">
            <w:pPr>
              <w:pStyle w:val="Standard"/>
              <w:jc w:val="both"/>
              <w:rPr>
                <w:rFonts w:cs="Times New Roman"/>
                <w:sz w:val="22"/>
              </w:rPr>
            </w:pPr>
          </w:p>
          <w:p w14:paraId="3CF98E7A" w14:textId="644E61A5" w:rsidR="00603043" w:rsidRPr="000054D9" w:rsidRDefault="00603043" w:rsidP="00603043">
            <w:pPr>
              <w:pStyle w:val="Standard"/>
              <w:jc w:val="both"/>
              <w:rPr>
                <w:rFonts w:cs="Times New Roman"/>
                <w:sz w:val="22"/>
              </w:rPr>
            </w:pPr>
            <w:r w:rsidRPr="00603043">
              <w:rPr>
                <w:rFonts w:cs="Times New Roman"/>
                <w:sz w:val="22"/>
              </w:rPr>
              <w:t>d)</w:t>
            </w:r>
            <w:r w:rsidRPr="00603043">
              <w:rPr>
                <w:rFonts w:cs="Times New Roman"/>
                <w:sz w:val="22"/>
              </w:rPr>
              <w:tab/>
              <w:t>vienotā izvēles kritērija Nr.2.1. ietvaros sadarbības partnera projekta ietvaros uzskaitītas no 23.2. līdz 23.4. atbalstāmās darbības, bet atbilstoši MK noteikumu 17. punktam ir minēts, ka "MK noteikumu 23.1. līdz 23.4. atbalstāmo darbību īstenošanai projekta iesniedzējs ar sadarbības partneriem slēdz sadarbības līgumu....". Lūgums uzskaitīt atbalstāmās darbības no 23.1. līdz 23.4. atbilstoši MK noteikumu 17. punktā minētajam;</w:t>
            </w:r>
          </w:p>
        </w:tc>
        <w:tc>
          <w:tcPr>
            <w:tcW w:w="2550" w:type="dxa"/>
          </w:tcPr>
          <w:p w14:paraId="51F196A7" w14:textId="6B2C80FD" w:rsidR="00603043" w:rsidRPr="000054D9" w:rsidRDefault="5731DEF1" w:rsidP="47386AC0">
            <w:pPr>
              <w:pStyle w:val="Standard"/>
              <w:jc w:val="both"/>
              <w:rPr>
                <w:rFonts w:eastAsia="Times New Roman" w:cs="Times New Roman"/>
                <w:b/>
                <w:bCs/>
                <w:color w:val="000000" w:themeColor="text1"/>
                <w:sz w:val="22"/>
              </w:rPr>
            </w:pPr>
            <w:r w:rsidRPr="47386AC0">
              <w:rPr>
                <w:rFonts w:eastAsia="Times New Roman" w:cs="Times New Roman"/>
                <w:b/>
                <w:bCs/>
                <w:color w:val="000000" w:themeColor="text1"/>
                <w:sz w:val="22"/>
              </w:rPr>
              <w:t>Ņemts vērā</w:t>
            </w:r>
          </w:p>
          <w:p w14:paraId="4AEB1E8D" w14:textId="7E34D706" w:rsidR="47386AC0" w:rsidRDefault="47386AC0" w:rsidP="47386AC0">
            <w:pPr>
              <w:pStyle w:val="Standard"/>
              <w:jc w:val="both"/>
              <w:rPr>
                <w:rFonts w:eastAsia="Times New Roman" w:cs="Times New Roman"/>
                <w:b/>
                <w:bCs/>
                <w:color w:val="000000" w:themeColor="text1"/>
                <w:sz w:val="22"/>
              </w:rPr>
            </w:pPr>
          </w:p>
          <w:p w14:paraId="2135A753" w14:textId="0F08FA15" w:rsidR="5731DEF1" w:rsidRDefault="5731DEF1" w:rsidP="47386AC0">
            <w:pPr>
              <w:pStyle w:val="Standard"/>
              <w:jc w:val="both"/>
              <w:rPr>
                <w:rFonts w:eastAsia="Times New Roman" w:cs="Times New Roman"/>
                <w:color w:val="000000" w:themeColor="text1"/>
                <w:sz w:val="22"/>
              </w:rPr>
            </w:pPr>
            <w:r w:rsidRPr="47386AC0">
              <w:rPr>
                <w:rFonts w:eastAsia="Times New Roman" w:cs="Times New Roman"/>
                <w:color w:val="000000" w:themeColor="text1"/>
                <w:sz w:val="22"/>
              </w:rPr>
              <w:t xml:space="preserve">Tā </w:t>
            </w:r>
            <w:r w:rsidR="008874B6">
              <w:rPr>
                <w:rFonts w:eastAsia="Times New Roman" w:cs="Times New Roman"/>
                <w:color w:val="000000" w:themeColor="text1"/>
                <w:sz w:val="22"/>
              </w:rPr>
              <w:t xml:space="preserve">kā </w:t>
            </w:r>
            <w:r w:rsidRPr="47386AC0">
              <w:rPr>
                <w:rFonts w:eastAsia="Times New Roman" w:cs="Times New Roman"/>
                <w:color w:val="000000" w:themeColor="text1"/>
                <w:sz w:val="22"/>
              </w:rPr>
              <w:t>uzsākot MK noteikumu projekta saskaņošanu TAP, konkrēto punktu redakcijas vēl var mainīties</w:t>
            </w:r>
            <w:r w:rsidR="008874B6">
              <w:rPr>
                <w:rFonts w:eastAsia="Times New Roman" w:cs="Times New Roman"/>
                <w:color w:val="000000" w:themeColor="text1"/>
                <w:sz w:val="22"/>
              </w:rPr>
              <w:t>,</w:t>
            </w:r>
            <w:r w:rsidRPr="47386AC0">
              <w:rPr>
                <w:rFonts w:eastAsia="Times New Roman" w:cs="Times New Roman"/>
                <w:color w:val="000000" w:themeColor="text1"/>
                <w:sz w:val="22"/>
              </w:rPr>
              <w:t xml:space="preserve"> kritēriju metodikā norādām vispārīgu atsauci uz MK n</w:t>
            </w:r>
            <w:r w:rsidR="73A82316" w:rsidRPr="47386AC0">
              <w:rPr>
                <w:rFonts w:eastAsia="Times New Roman" w:cs="Times New Roman"/>
                <w:color w:val="000000" w:themeColor="text1"/>
                <w:sz w:val="22"/>
              </w:rPr>
              <w:t>oteikumiem.</w:t>
            </w:r>
          </w:p>
          <w:p w14:paraId="4CDBBDDA" w14:textId="261A53A0" w:rsidR="00603043" w:rsidRPr="000054D9" w:rsidRDefault="00603043" w:rsidP="44C0FD7D">
            <w:pPr>
              <w:pStyle w:val="Standard"/>
              <w:jc w:val="both"/>
              <w:rPr>
                <w:rFonts w:cs="Times New Roman"/>
                <w:sz w:val="22"/>
              </w:rPr>
            </w:pPr>
          </w:p>
        </w:tc>
        <w:tc>
          <w:tcPr>
            <w:tcW w:w="2558" w:type="dxa"/>
          </w:tcPr>
          <w:p w14:paraId="6A69D276" w14:textId="0703B19F" w:rsidR="00603043" w:rsidRPr="000054D9" w:rsidRDefault="73A82316" w:rsidP="47386AC0">
            <w:pPr>
              <w:jc w:val="both"/>
            </w:pPr>
            <w:r w:rsidRPr="47386AC0">
              <w:rPr>
                <w:rFonts w:eastAsia="Times New Roman" w:cs="Times New Roman"/>
                <w:color w:val="000000" w:themeColor="text1"/>
                <w:szCs w:val="24"/>
              </w:rPr>
              <w:t>Sadarbības partneri projekta ietvaros nodrošina MK noteikumos noteiktās atbalstāmās darbības un nosacījumus atbalstāmo darbību īstenošanai.</w:t>
            </w:r>
          </w:p>
          <w:p w14:paraId="250F44BD" w14:textId="1BD8CC0D" w:rsidR="00603043" w:rsidRPr="000054D9" w:rsidRDefault="00603043" w:rsidP="47386AC0">
            <w:pPr>
              <w:pStyle w:val="Standard"/>
              <w:jc w:val="both"/>
              <w:rPr>
                <w:rFonts w:cs="Times New Roman"/>
                <w:sz w:val="22"/>
              </w:rPr>
            </w:pPr>
          </w:p>
        </w:tc>
      </w:tr>
      <w:tr w:rsidR="00603043" w:rsidRPr="000054D9" w14:paraId="34C5D517" w14:textId="77777777" w:rsidTr="47386AC0">
        <w:tc>
          <w:tcPr>
            <w:tcW w:w="555" w:type="dxa"/>
          </w:tcPr>
          <w:p w14:paraId="5B705207" w14:textId="77777777" w:rsidR="00603043" w:rsidRPr="000054D9" w:rsidRDefault="00603043" w:rsidP="00603043">
            <w:pPr>
              <w:pStyle w:val="Standard"/>
              <w:numPr>
                <w:ilvl w:val="0"/>
                <w:numId w:val="14"/>
              </w:numPr>
              <w:ind w:hanging="1049"/>
              <w:jc w:val="center"/>
              <w:rPr>
                <w:rFonts w:cs="Times New Roman"/>
                <w:b/>
                <w:bCs/>
                <w:sz w:val="22"/>
              </w:rPr>
            </w:pPr>
          </w:p>
        </w:tc>
        <w:tc>
          <w:tcPr>
            <w:tcW w:w="2482" w:type="dxa"/>
            <w:vMerge/>
          </w:tcPr>
          <w:p w14:paraId="7F07ABCF" w14:textId="77777777" w:rsidR="00603043" w:rsidRPr="000054D9" w:rsidRDefault="00603043" w:rsidP="00603043">
            <w:pPr>
              <w:pStyle w:val="Standard"/>
              <w:jc w:val="both"/>
              <w:rPr>
                <w:rFonts w:cs="Times New Roman"/>
                <w:b/>
                <w:bCs/>
                <w:sz w:val="22"/>
              </w:rPr>
            </w:pPr>
          </w:p>
        </w:tc>
        <w:tc>
          <w:tcPr>
            <w:tcW w:w="5803" w:type="dxa"/>
          </w:tcPr>
          <w:p w14:paraId="6586C337"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7DFC048C" w14:textId="77777777" w:rsidR="00603043" w:rsidRDefault="00603043" w:rsidP="00603043">
            <w:pPr>
              <w:pStyle w:val="Standard"/>
              <w:jc w:val="both"/>
              <w:rPr>
                <w:rFonts w:cs="Times New Roman"/>
                <w:sz w:val="22"/>
              </w:rPr>
            </w:pPr>
          </w:p>
          <w:p w14:paraId="64571929" w14:textId="05B4DBBB" w:rsidR="00603043" w:rsidRPr="000054D9" w:rsidRDefault="00603043" w:rsidP="00603043">
            <w:pPr>
              <w:pStyle w:val="Standard"/>
              <w:jc w:val="both"/>
              <w:rPr>
                <w:rFonts w:cs="Times New Roman"/>
                <w:sz w:val="22"/>
              </w:rPr>
            </w:pPr>
            <w:r>
              <w:rPr>
                <w:rFonts w:cs="Times New Roman"/>
                <w:sz w:val="22"/>
              </w:rPr>
              <w:t>V</w:t>
            </w:r>
            <w:r w:rsidRPr="00603043">
              <w:rPr>
                <w:rFonts w:cs="Times New Roman"/>
                <w:sz w:val="22"/>
              </w:rPr>
              <w:t>ienotā izvēles kritērija Nr.2.1. ietvaros MK noteikumu 37. punktā ir minēts, ka "Sadarbības partneris 23.1. līdz 23.3. apakšpunktā minēto atbalstāmo darbību īstenošanai nodrošina:[..].". Lūdzam papildināt kritērija piemērošanas skaidrojuma tekstu: “Sadarbības partneri īstenojot atbalsta tīklu veidošanu vietējo kopienu aktivizēšanai […]” ar 23.1. atbalstāmo darbību;</w:t>
            </w:r>
          </w:p>
        </w:tc>
        <w:tc>
          <w:tcPr>
            <w:tcW w:w="2550" w:type="dxa"/>
          </w:tcPr>
          <w:p w14:paraId="1F690B6F" w14:textId="6B2C80FD" w:rsidR="00603043" w:rsidRPr="000054D9" w:rsidRDefault="20851019" w:rsidP="47386AC0">
            <w:pPr>
              <w:pStyle w:val="Standard"/>
              <w:jc w:val="both"/>
              <w:rPr>
                <w:rFonts w:eastAsia="Times New Roman" w:cs="Times New Roman"/>
                <w:b/>
                <w:bCs/>
                <w:color w:val="000000" w:themeColor="text1"/>
                <w:sz w:val="22"/>
              </w:rPr>
            </w:pPr>
            <w:r w:rsidRPr="47386AC0">
              <w:rPr>
                <w:rFonts w:eastAsia="Times New Roman" w:cs="Times New Roman"/>
                <w:b/>
                <w:bCs/>
                <w:color w:val="000000" w:themeColor="text1"/>
                <w:sz w:val="22"/>
              </w:rPr>
              <w:t>Ņemts vērā</w:t>
            </w:r>
          </w:p>
          <w:p w14:paraId="040076E6" w14:textId="7E34D706" w:rsidR="00603043" w:rsidRPr="000054D9" w:rsidRDefault="00603043" w:rsidP="47386AC0">
            <w:pPr>
              <w:pStyle w:val="Standard"/>
              <w:jc w:val="both"/>
              <w:rPr>
                <w:rFonts w:eastAsia="Times New Roman" w:cs="Times New Roman"/>
                <w:b/>
                <w:bCs/>
                <w:color w:val="000000" w:themeColor="text1"/>
                <w:sz w:val="22"/>
              </w:rPr>
            </w:pPr>
          </w:p>
          <w:p w14:paraId="45A41CD3" w14:textId="0AB2F90C" w:rsidR="00603043" w:rsidRPr="000054D9" w:rsidRDefault="20851019" w:rsidP="47386AC0">
            <w:pPr>
              <w:pStyle w:val="Standard"/>
              <w:jc w:val="both"/>
              <w:rPr>
                <w:rFonts w:eastAsia="Times New Roman" w:cs="Times New Roman"/>
                <w:color w:val="000000" w:themeColor="text1"/>
                <w:sz w:val="22"/>
              </w:rPr>
            </w:pPr>
            <w:r w:rsidRPr="47386AC0">
              <w:rPr>
                <w:rFonts w:eastAsia="Times New Roman" w:cs="Times New Roman"/>
                <w:color w:val="000000" w:themeColor="text1"/>
                <w:sz w:val="22"/>
              </w:rPr>
              <w:t xml:space="preserve">Tā </w:t>
            </w:r>
            <w:r w:rsidR="008874B6">
              <w:rPr>
                <w:rFonts w:eastAsia="Times New Roman" w:cs="Times New Roman"/>
                <w:color w:val="000000" w:themeColor="text1"/>
                <w:sz w:val="22"/>
              </w:rPr>
              <w:t xml:space="preserve">kā </w:t>
            </w:r>
            <w:r w:rsidRPr="47386AC0">
              <w:rPr>
                <w:rFonts w:eastAsia="Times New Roman" w:cs="Times New Roman"/>
                <w:color w:val="000000" w:themeColor="text1"/>
                <w:sz w:val="22"/>
              </w:rPr>
              <w:t>uzsākot MK noteikumu projekta saskaņošanu TAP, konkrēto punktu redakcijas vēl var mainīties kritēriju metodikā norādām vispārīgu atsauci uz MK noteikumiem.</w:t>
            </w:r>
          </w:p>
          <w:p w14:paraId="7C6D288F" w14:textId="1C16F376" w:rsidR="00603043" w:rsidRPr="000054D9" w:rsidRDefault="00603043" w:rsidP="47386AC0">
            <w:pPr>
              <w:pStyle w:val="Standard"/>
              <w:jc w:val="both"/>
              <w:rPr>
                <w:rFonts w:cs="Times New Roman"/>
                <w:sz w:val="22"/>
              </w:rPr>
            </w:pPr>
          </w:p>
        </w:tc>
        <w:tc>
          <w:tcPr>
            <w:tcW w:w="2558" w:type="dxa"/>
          </w:tcPr>
          <w:p w14:paraId="62EE78DF" w14:textId="0703B19F" w:rsidR="00603043" w:rsidRPr="000054D9" w:rsidRDefault="20851019" w:rsidP="47386AC0">
            <w:pPr>
              <w:jc w:val="both"/>
            </w:pPr>
            <w:r w:rsidRPr="47386AC0">
              <w:rPr>
                <w:rFonts w:eastAsia="Times New Roman" w:cs="Times New Roman"/>
                <w:color w:val="000000" w:themeColor="text1"/>
                <w:szCs w:val="24"/>
              </w:rPr>
              <w:t>Sadarbības partneri projekta ietvaros nodrošina MK noteikumos noteiktās atbalstāmās darbības un nosacījumus atbalstāmo darbību īstenošanai.</w:t>
            </w:r>
          </w:p>
          <w:p w14:paraId="02BA0105" w14:textId="1D848423" w:rsidR="00603043" w:rsidRPr="000054D9" w:rsidRDefault="00603043" w:rsidP="47386AC0">
            <w:pPr>
              <w:pStyle w:val="Standard"/>
              <w:jc w:val="both"/>
              <w:rPr>
                <w:rFonts w:cs="Times New Roman"/>
                <w:sz w:val="22"/>
              </w:rPr>
            </w:pPr>
          </w:p>
        </w:tc>
      </w:tr>
      <w:tr w:rsidR="00603043" w:rsidRPr="000054D9" w14:paraId="68F081C4" w14:textId="77777777" w:rsidTr="47386AC0">
        <w:tc>
          <w:tcPr>
            <w:tcW w:w="555" w:type="dxa"/>
          </w:tcPr>
          <w:p w14:paraId="5AB20222" w14:textId="77777777" w:rsidR="00603043" w:rsidRPr="000054D9" w:rsidRDefault="00603043" w:rsidP="00603043">
            <w:pPr>
              <w:pStyle w:val="Standard"/>
              <w:numPr>
                <w:ilvl w:val="0"/>
                <w:numId w:val="14"/>
              </w:numPr>
              <w:ind w:hanging="1049"/>
              <w:jc w:val="center"/>
              <w:rPr>
                <w:b/>
                <w:bCs/>
                <w:sz w:val="22"/>
              </w:rPr>
            </w:pPr>
          </w:p>
        </w:tc>
        <w:tc>
          <w:tcPr>
            <w:tcW w:w="2482" w:type="dxa"/>
          </w:tcPr>
          <w:p w14:paraId="7A08B4BB" w14:textId="6340035A" w:rsidR="00603043" w:rsidRPr="000054D9" w:rsidRDefault="00603043" w:rsidP="00603043">
            <w:pPr>
              <w:pStyle w:val="Standard"/>
              <w:jc w:val="both"/>
              <w:rPr>
                <w:b/>
                <w:bCs/>
                <w:sz w:val="22"/>
              </w:rPr>
            </w:pPr>
            <w:r w:rsidRPr="00603043">
              <w:rPr>
                <w:rFonts w:cs="Times New Roman"/>
                <w:b/>
                <w:bCs/>
                <w:sz w:val="22"/>
              </w:rPr>
              <w:t>Vienotais</w:t>
            </w:r>
            <w:r>
              <w:rPr>
                <w:rFonts w:cs="Times New Roman"/>
                <w:b/>
                <w:bCs/>
                <w:sz w:val="22"/>
              </w:rPr>
              <w:t xml:space="preserve"> izvēles</w:t>
            </w:r>
            <w:r w:rsidRPr="00603043">
              <w:rPr>
                <w:rFonts w:cs="Times New Roman"/>
                <w:b/>
                <w:bCs/>
                <w:sz w:val="22"/>
              </w:rPr>
              <w:t xml:space="preserve"> kritērijs Nr. </w:t>
            </w:r>
            <w:r>
              <w:rPr>
                <w:rFonts w:cs="Times New Roman"/>
                <w:b/>
                <w:bCs/>
                <w:sz w:val="22"/>
              </w:rPr>
              <w:t>2.2.</w:t>
            </w:r>
          </w:p>
        </w:tc>
        <w:tc>
          <w:tcPr>
            <w:tcW w:w="5803" w:type="dxa"/>
          </w:tcPr>
          <w:p w14:paraId="1CD9A065"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63EAF68A" w14:textId="77777777" w:rsidR="00603043" w:rsidRDefault="00603043" w:rsidP="00603043">
            <w:pPr>
              <w:pStyle w:val="Standard"/>
              <w:jc w:val="both"/>
              <w:rPr>
                <w:rFonts w:cs="Times New Roman"/>
                <w:sz w:val="22"/>
              </w:rPr>
            </w:pPr>
          </w:p>
          <w:p w14:paraId="3B0A56BB" w14:textId="3F7D8DFD" w:rsidR="00603043" w:rsidRPr="000054D9" w:rsidRDefault="00603043" w:rsidP="00603043">
            <w:pPr>
              <w:pStyle w:val="Standard"/>
              <w:jc w:val="both"/>
              <w:rPr>
                <w:sz w:val="22"/>
              </w:rPr>
            </w:pPr>
            <w:r>
              <w:rPr>
                <w:sz w:val="22"/>
              </w:rPr>
              <w:t>V</w:t>
            </w:r>
            <w:r w:rsidRPr="00603043">
              <w:rPr>
                <w:sz w:val="22"/>
              </w:rPr>
              <w:t>ienotā izvēles kritērija Nr.2.2. ietvaros precizēt projekta iesnieguma mērķa grupas atbilstību, jo MK noteikumu 7.punktā bez šiem vēl ir minēti kopienas aktīvie iedzīvotāji, neformālās iniciatīvu grupas. Lūdzam papildināt ar tiem mērķa grupas uzskaitījumu.</w:t>
            </w:r>
          </w:p>
        </w:tc>
        <w:tc>
          <w:tcPr>
            <w:tcW w:w="2550" w:type="dxa"/>
          </w:tcPr>
          <w:p w14:paraId="3F1192FE" w14:textId="3DFE94BB" w:rsidR="00603043" w:rsidRPr="000054D9" w:rsidRDefault="2715587A" w:rsidP="44C0FD7D">
            <w:pPr>
              <w:pStyle w:val="Standard"/>
              <w:jc w:val="both"/>
              <w:rPr>
                <w:rFonts w:cs="Times New Roman"/>
                <w:sz w:val="22"/>
              </w:rPr>
            </w:pPr>
            <w:r w:rsidRPr="44C0FD7D">
              <w:rPr>
                <w:rFonts w:cs="Times New Roman"/>
                <w:b/>
                <w:bCs/>
                <w:sz w:val="22"/>
              </w:rPr>
              <w:t>Ņemts vērā</w:t>
            </w:r>
          </w:p>
          <w:p w14:paraId="16AE13E3" w14:textId="6551AF46" w:rsidR="00603043" w:rsidRPr="000054D9" w:rsidRDefault="00603043" w:rsidP="44C0FD7D">
            <w:pPr>
              <w:pStyle w:val="Standard"/>
              <w:jc w:val="both"/>
              <w:rPr>
                <w:sz w:val="22"/>
              </w:rPr>
            </w:pPr>
          </w:p>
        </w:tc>
        <w:tc>
          <w:tcPr>
            <w:tcW w:w="2558" w:type="dxa"/>
          </w:tcPr>
          <w:p w14:paraId="377D06DA" w14:textId="7CA3D3A3" w:rsidR="00603043" w:rsidRPr="00205426" w:rsidRDefault="7092EEB8" w:rsidP="47386AC0">
            <w:pPr>
              <w:jc w:val="both"/>
              <w:rPr>
                <w:rFonts w:eastAsia="Times New Roman" w:cs="Times New Roman"/>
                <w:color w:val="000000" w:themeColor="text1"/>
                <w:szCs w:val="24"/>
              </w:rPr>
            </w:pPr>
            <w:r w:rsidRPr="00205426">
              <w:rPr>
                <w:rFonts w:eastAsia="Times New Roman" w:cs="Times New Roman"/>
                <w:color w:val="000000" w:themeColor="text1"/>
                <w:szCs w:val="24"/>
              </w:rPr>
              <w:t xml:space="preserve">Projekta iesniegumā norādītā mērķa grupa atbilst MK noteikumos noteiktajai – kopienas aktīvie iedzīvotāji, neformālas iniciatīvu grupas, biedrības un </w:t>
            </w:r>
            <w:r w:rsidRPr="00205426">
              <w:rPr>
                <w:rFonts w:eastAsia="Times New Roman" w:cs="Times New Roman"/>
                <w:color w:val="000000" w:themeColor="text1"/>
                <w:szCs w:val="24"/>
              </w:rPr>
              <w:lastRenderedPageBreak/>
              <w:t>nodibinājumi, reģionālie nevalstisko organizāciju atbalsta centri, mazaizsargātie vai sociālās atstumtības riskam pakļautie iedzīvotāji.</w:t>
            </w:r>
          </w:p>
          <w:p w14:paraId="2F3D97AD" w14:textId="1B90716E" w:rsidR="00603043" w:rsidRPr="000054D9" w:rsidRDefault="00603043" w:rsidP="47386AC0">
            <w:pPr>
              <w:pStyle w:val="Standard"/>
              <w:jc w:val="both"/>
              <w:rPr>
                <w:sz w:val="22"/>
              </w:rPr>
            </w:pPr>
          </w:p>
        </w:tc>
      </w:tr>
      <w:tr w:rsidR="00EE0A56" w:rsidRPr="000054D9" w14:paraId="4B5C1F9D" w14:textId="77777777" w:rsidTr="47386AC0">
        <w:tc>
          <w:tcPr>
            <w:tcW w:w="555" w:type="dxa"/>
          </w:tcPr>
          <w:p w14:paraId="1000E933" w14:textId="77777777" w:rsidR="00EE0A56" w:rsidRPr="000054D9" w:rsidRDefault="00EE0A56" w:rsidP="00603043">
            <w:pPr>
              <w:pStyle w:val="Standard"/>
              <w:numPr>
                <w:ilvl w:val="0"/>
                <w:numId w:val="14"/>
              </w:numPr>
              <w:ind w:hanging="1049"/>
              <w:jc w:val="center"/>
              <w:rPr>
                <w:b/>
                <w:bCs/>
                <w:sz w:val="22"/>
              </w:rPr>
            </w:pPr>
          </w:p>
        </w:tc>
        <w:tc>
          <w:tcPr>
            <w:tcW w:w="2482" w:type="dxa"/>
          </w:tcPr>
          <w:p w14:paraId="0DFF09D2" w14:textId="6C3EE7ED" w:rsidR="00EE0A56" w:rsidRDefault="00EE0A56" w:rsidP="00603043">
            <w:pPr>
              <w:pStyle w:val="Standard"/>
              <w:jc w:val="both"/>
              <w:rPr>
                <w:b/>
                <w:bCs/>
                <w:sz w:val="22"/>
              </w:rPr>
            </w:pPr>
            <w:r>
              <w:rPr>
                <w:b/>
                <w:bCs/>
                <w:sz w:val="22"/>
              </w:rPr>
              <w:t>Kritērijs Nr. 3.1.</w:t>
            </w:r>
          </w:p>
        </w:tc>
        <w:tc>
          <w:tcPr>
            <w:tcW w:w="5803" w:type="dxa"/>
          </w:tcPr>
          <w:p w14:paraId="54828BC0" w14:textId="77777777" w:rsidR="00EE0A56" w:rsidRPr="00D70342" w:rsidRDefault="00EE0A56" w:rsidP="47386AC0">
            <w:pPr>
              <w:pStyle w:val="Standard"/>
              <w:jc w:val="both"/>
              <w:rPr>
                <w:b/>
                <w:bCs/>
                <w:sz w:val="22"/>
              </w:rPr>
            </w:pPr>
            <w:r w:rsidRPr="00D70342">
              <w:rPr>
                <w:b/>
                <w:bCs/>
                <w:sz w:val="22"/>
              </w:rPr>
              <w:t>Labklājības ministrija HP</w:t>
            </w:r>
          </w:p>
          <w:p w14:paraId="1B0529F9" w14:textId="77777777" w:rsidR="00EE0A56" w:rsidRPr="00EE0A56" w:rsidRDefault="00EE0A56" w:rsidP="00603043">
            <w:pPr>
              <w:pStyle w:val="Standard"/>
              <w:jc w:val="both"/>
              <w:rPr>
                <w:sz w:val="22"/>
              </w:rPr>
            </w:pPr>
          </w:p>
          <w:p w14:paraId="144EAA69" w14:textId="77777777" w:rsidR="00EE0A56" w:rsidRPr="00EE0A56" w:rsidRDefault="00EE0A56" w:rsidP="00EE0A56">
            <w:pPr>
              <w:pStyle w:val="Standard"/>
              <w:jc w:val="both"/>
              <w:rPr>
                <w:sz w:val="22"/>
              </w:rPr>
            </w:pPr>
            <w:r w:rsidRPr="00EE0A56">
              <w:rPr>
                <w:sz w:val="22"/>
              </w:rPr>
              <w:t>Lūdzam veikt precizējumus kritēriju metodikas 3.1. specifiskā atbilstības kritērija sadaļā “Skaidrojums atbilstības noteikšanai” attiecībā uz horizontālā principa “Vienlīdzība, iekļaušana, nediskriminācija un pamattiesību ievērošana” vērtēšanas nosacījumu atspoguļošanu:</w:t>
            </w:r>
          </w:p>
          <w:p w14:paraId="28EC409C" w14:textId="77777777" w:rsidR="00EE0A56" w:rsidRPr="00EE0A56" w:rsidRDefault="00EE0A56" w:rsidP="00EE0A56">
            <w:pPr>
              <w:pStyle w:val="Standard"/>
              <w:jc w:val="both"/>
              <w:rPr>
                <w:sz w:val="22"/>
              </w:rPr>
            </w:pPr>
          </w:p>
          <w:p w14:paraId="0A775892" w14:textId="77777777" w:rsidR="00EE0A56" w:rsidRPr="00EE0A56" w:rsidRDefault="00EE0A56" w:rsidP="00EE0A56">
            <w:pPr>
              <w:pStyle w:val="Standard"/>
              <w:jc w:val="both"/>
              <w:rPr>
                <w:sz w:val="22"/>
              </w:rPr>
            </w:pPr>
            <w:r w:rsidRPr="00EE0A56">
              <w:rPr>
                <w:sz w:val="22"/>
              </w:rPr>
              <w:t xml:space="preserve">1) specifiskā atbilstības kritērija Nr.3.1 piemērošanas skaidrojumā atbildīgā iestāde definējusi tādas HP vispārīgās un specifiskās darbības, kas nav definētas HP vadlīnijās un KP VIS. Paskaidrojam, </w:t>
            </w:r>
            <w:proofErr w:type="gramStart"/>
            <w:r w:rsidRPr="00EE0A56">
              <w:rPr>
                <w:sz w:val="22"/>
              </w:rPr>
              <w:t>ka KP VIS ir iekļautas HP</w:t>
            </w:r>
            <w:proofErr w:type="gramEnd"/>
            <w:r w:rsidRPr="00EE0A56">
              <w:rPr>
                <w:sz w:val="22"/>
              </w:rPr>
              <w:t xml:space="preserve"> vispārīgo un specifisko darbību redakcijas atbilstoši HP vadlīnijās definētajām un projekta iesniedzējam var rasties grūtības tās identificēt KP VIS vidē.</w:t>
            </w:r>
          </w:p>
          <w:p w14:paraId="1F8D9FD9" w14:textId="77777777" w:rsidR="00EE0A56" w:rsidRPr="00EE0A56" w:rsidRDefault="00EE0A56" w:rsidP="00EE0A56">
            <w:pPr>
              <w:pStyle w:val="Standard"/>
              <w:jc w:val="both"/>
              <w:rPr>
                <w:sz w:val="22"/>
              </w:rPr>
            </w:pPr>
            <w:r w:rsidRPr="00EE0A56">
              <w:rPr>
                <w:sz w:val="22"/>
              </w:rPr>
              <w:t>Vienlaikus piekrītam, ka Kultūras ministrijas definētās HP darbību redakcijas ir veiksmīgas un pasākuma saturam atbilstošas, līdz ar to pastāv divi veidi kā var atspoguļot HP darbības projekta iesniegumā KP VIS:</w:t>
            </w:r>
          </w:p>
          <w:p w14:paraId="173A1443" w14:textId="77777777" w:rsidR="00EE0A56" w:rsidRPr="00EE0A56" w:rsidRDefault="00EE0A56" w:rsidP="00EE0A56">
            <w:pPr>
              <w:pStyle w:val="Standard"/>
              <w:jc w:val="both"/>
              <w:rPr>
                <w:sz w:val="22"/>
              </w:rPr>
            </w:pPr>
            <w:r w:rsidRPr="00EE0A56">
              <w:rPr>
                <w:sz w:val="22"/>
              </w:rPr>
              <w:t>1)</w:t>
            </w:r>
            <w:r w:rsidRPr="00EE0A56">
              <w:rPr>
                <w:sz w:val="22"/>
              </w:rPr>
              <w:tab/>
              <w:t>kritēriju metodikā definēt HP darbības atbilstoši HP vadlīnijām un KP VIS;</w:t>
            </w:r>
          </w:p>
          <w:p w14:paraId="2A280C4F" w14:textId="77777777" w:rsidR="00EE0A56" w:rsidRPr="00EE0A56" w:rsidRDefault="00EE0A56" w:rsidP="00EE0A56">
            <w:pPr>
              <w:pStyle w:val="Standard"/>
              <w:jc w:val="both"/>
              <w:rPr>
                <w:sz w:val="22"/>
              </w:rPr>
            </w:pPr>
            <w:r w:rsidRPr="00EE0A56">
              <w:rPr>
                <w:sz w:val="22"/>
              </w:rPr>
              <w:t>2)</w:t>
            </w:r>
            <w:r w:rsidRPr="00EE0A56">
              <w:rPr>
                <w:sz w:val="22"/>
              </w:rPr>
              <w:tab/>
              <w:t>pie HP darbības KM redakcijā</w:t>
            </w:r>
            <w:proofErr w:type="gramStart"/>
            <w:r w:rsidRPr="00EE0A56">
              <w:rPr>
                <w:sz w:val="22"/>
              </w:rPr>
              <w:t xml:space="preserve">  </w:t>
            </w:r>
            <w:proofErr w:type="gramEnd"/>
            <w:r w:rsidRPr="00EE0A56">
              <w:rPr>
                <w:sz w:val="22"/>
              </w:rPr>
              <w:t>kritēriju metodikā var norādīt, ka darbība ir jāpievieno PI kā “Jauna HP darbība”.</w:t>
            </w:r>
          </w:p>
          <w:p w14:paraId="5D6CEE7E" w14:textId="77777777" w:rsidR="00EE0A56" w:rsidRPr="00EE0A56" w:rsidRDefault="00EE0A56" w:rsidP="00EE0A56">
            <w:pPr>
              <w:pStyle w:val="Standard"/>
              <w:jc w:val="both"/>
              <w:rPr>
                <w:sz w:val="22"/>
              </w:rPr>
            </w:pPr>
          </w:p>
          <w:p w14:paraId="37062FAA" w14:textId="77777777" w:rsidR="00EE0A56" w:rsidRPr="00EE0A56" w:rsidRDefault="00EE0A56" w:rsidP="00EE0A56">
            <w:pPr>
              <w:pStyle w:val="Standard"/>
              <w:jc w:val="both"/>
              <w:rPr>
                <w:sz w:val="22"/>
              </w:rPr>
            </w:pPr>
            <w:r w:rsidRPr="00EE0A56">
              <w:rPr>
                <w:sz w:val="22"/>
              </w:rPr>
              <w:t>2) lūdzu papildināt ar specifisku HP darbību, kas nodrošina HP rādītāja VINPI_01 sasniegšanu.</w:t>
            </w:r>
          </w:p>
          <w:p w14:paraId="035F6913" w14:textId="77777777" w:rsidR="00EE0A56" w:rsidRPr="00EE0A56" w:rsidRDefault="00EE0A56" w:rsidP="00EE0A56">
            <w:pPr>
              <w:pStyle w:val="Standard"/>
              <w:jc w:val="both"/>
              <w:rPr>
                <w:sz w:val="22"/>
              </w:rPr>
            </w:pPr>
          </w:p>
          <w:p w14:paraId="7E4EA8FC" w14:textId="77777777" w:rsidR="00EE0A56" w:rsidRPr="00EE0A56" w:rsidRDefault="00EE0A56" w:rsidP="00EE0A56">
            <w:pPr>
              <w:pStyle w:val="Standard"/>
              <w:jc w:val="both"/>
              <w:rPr>
                <w:sz w:val="22"/>
              </w:rPr>
            </w:pPr>
            <w:r w:rsidRPr="00EE0A56">
              <w:rPr>
                <w:sz w:val="22"/>
              </w:rPr>
              <w:t xml:space="preserve">3) lūdzu precizēt HP rādītāja VINPI_01 redakciju atbilstoši HP vadlīnijās norādītajam. Paskaidroju, ka KP VIS rādītāji ir </w:t>
            </w:r>
            <w:r w:rsidRPr="00EE0A56">
              <w:rPr>
                <w:sz w:val="22"/>
              </w:rPr>
              <w:lastRenderedPageBreak/>
              <w:t>iekļauti tieši tādās redakcijās kādas tās ir HP vadlīnijās un citas redakcijas varētu radīt grūtības projekta iesniedzējam</w:t>
            </w:r>
            <w:proofErr w:type="gramStart"/>
            <w:r w:rsidRPr="00EE0A56">
              <w:rPr>
                <w:sz w:val="22"/>
              </w:rPr>
              <w:t xml:space="preserve">  </w:t>
            </w:r>
            <w:proofErr w:type="gramEnd"/>
            <w:r w:rsidRPr="00EE0A56">
              <w:rPr>
                <w:sz w:val="22"/>
              </w:rPr>
              <w:t>tos identificēt KP VIS vidē.</w:t>
            </w:r>
          </w:p>
          <w:p w14:paraId="2AB5B665" w14:textId="77777777" w:rsidR="00EE0A56" w:rsidRPr="00EE0A56" w:rsidRDefault="00EE0A56" w:rsidP="00EE0A56">
            <w:pPr>
              <w:pStyle w:val="Standard"/>
              <w:jc w:val="both"/>
              <w:rPr>
                <w:sz w:val="22"/>
              </w:rPr>
            </w:pPr>
          </w:p>
          <w:p w14:paraId="0C286AED" w14:textId="18231B6F" w:rsidR="00EE0A56" w:rsidRPr="00EE0A56" w:rsidRDefault="00EE0A56" w:rsidP="00EE0A56">
            <w:pPr>
              <w:pStyle w:val="Standard"/>
              <w:jc w:val="both"/>
              <w:rPr>
                <w:sz w:val="22"/>
              </w:rPr>
            </w:pPr>
            <w:r w:rsidRPr="00EE0A56">
              <w:rPr>
                <w:sz w:val="22"/>
              </w:rPr>
              <w:t>Lūdzu skatīt visus komentārus un papildinājumus pievienotajā dokumentā.</w:t>
            </w:r>
          </w:p>
        </w:tc>
        <w:tc>
          <w:tcPr>
            <w:tcW w:w="2550" w:type="dxa"/>
          </w:tcPr>
          <w:p w14:paraId="059AAAF7" w14:textId="4D5C07BE" w:rsidR="00EE0A56" w:rsidRPr="00D70342" w:rsidRDefault="00D70342" w:rsidP="00603043">
            <w:pPr>
              <w:pStyle w:val="Standard"/>
              <w:jc w:val="both"/>
              <w:rPr>
                <w:b/>
                <w:bCs/>
                <w:sz w:val="22"/>
              </w:rPr>
            </w:pPr>
            <w:r w:rsidRPr="00D70342">
              <w:rPr>
                <w:b/>
                <w:bCs/>
                <w:sz w:val="22"/>
              </w:rPr>
              <w:lastRenderedPageBreak/>
              <w:t>Ņemts vērā</w:t>
            </w:r>
          </w:p>
        </w:tc>
        <w:tc>
          <w:tcPr>
            <w:tcW w:w="2558" w:type="dxa"/>
          </w:tcPr>
          <w:p w14:paraId="199D874C" w14:textId="77777777" w:rsidR="00EE0A56" w:rsidRPr="000054D9" w:rsidRDefault="00EE0A56" w:rsidP="00603043">
            <w:pPr>
              <w:pStyle w:val="Standard"/>
              <w:jc w:val="both"/>
              <w:rPr>
                <w:sz w:val="22"/>
              </w:rPr>
            </w:pPr>
          </w:p>
        </w:tc>
      </w:tr>
      <w:tr w:rsidR="00603043" w:rsidRPr="000054D9" w14:paraId="02DF5936" w14:textId="77777777" w:rsidTr="47386AC0">
        <w:tc>
          <w:tcPr>
            <w:tcW w:w="555" w:type="dxa"/>
          </w:tcPr>
          <w:p w14:paraId="468F2DE5" w14:textId="77777777" w:rsidR="00603043" w:rsidRPr="000054D9" w:rsidRDefault="00603043" w:rsidP="00603043">
            <w:pPr>
              <w:pStyle w:val="Standard"/>
              <w:numPr>
                <w:ilvl w:val="0"/>
                <w:numId w:val="14"/>
              </w:numPr>
              <w:ind w:hanging="1049"/>
              <w:jc w:val="center"/>
              <w:rPr>
                <w:b/>
                <w:bCs/>
                <w:sz w:val="22"/>
              </w:rPr>
            </w:pPr>
          </w:p>
        </w:tc>
        <w:tc>
          <w:tcPr>
            <w:tcW w:w="2482" w:type="dxa"/>
          </w:tcPr>
          <w:p w14:paraId="7DE0812E" w14:textId="7258DF3C" w:rsidR="00603043" w:rsidRPr="000054D9" w:rsidRDefault="00603043" w:rsidP="00603043">
            <w:pPr>
              <w:pStyle w:val="Standard"/>
              <w:jc w:val="both"/>
              <w:rPr>
                <w:b/>
                <w:bCs/>
                <w:sz w:val="22"/>
              </w:rPr>
            </w:pPr>
            <w:r>
              <w:rPr>
                <w:b/>
                <w:bCs/>
                <w:sz w:val="22"/>
              </w:rPr>
              <w:t>Vispārīgi</w:t>
            </w:r>
          </w:p>
        </w:tc>
        <w:tc>
          <w:tcPr>
            <w:tcW w:w="5803" w:type="dxa"/>
          </w:tcPr>
          <w:p w14:paraId="60A07B53" w14:textId="77777777" w:rsidR="00603043" w:rsidRPr="00603043" w:rsidRDefault="00603043" w:rsidP="00603043">
            <w:pPr>
              <w:pStyle w:val="Standard"/>
              <w:jc w:val="both"/>
              <w:rPr>
                <w:rFonts w:cs="Times New Roman"/>
                <w:b/>
                <w:bCs/>
                <w:sz w:val="22"/>
              </w:rPr>
            </w:pPr>
            <w:r w:rsidRPr="00603043">
              <w:rPr>
                <w:rFonts w:cs="Times New Roman"/>
                <w:b/>
                <w:bCs/>
                <w:sz w:val="22"/>
              </w:rPr>
              <w:t>Centrālā finanšu un līgumu aģentūra</w:t>
            </w:r>
          </w:p>
          <w:p w14:paraId="07A816BE" w14:textId="77777777" w:rsidR="00603043" w:rsidRDefault="00603043" w:rsidP="00603043">
            <w:pPr>
              <w:pStyle w:val="Standard"/>
              <w:jc w:val="both"/>
              <w:rPr>
                <w:rFonts w:cs="Times New Roman"/>
                <w:sz w:val="22"/>
              </w:rPr>
            </w:pPr>
          </w:p>
          <w:p w14:paraId="28C8BD7F" w14:textId="51BF978D" w:rsidR="00603043" w:rsidRPr="000054D9" w:rsidRDefault="00603043" w:rsidP="00603043">
            <w:pPr>
              <w:pStyle w:val="Standard"/>
              <w:jc w:val="both"/>
              <w:rPr>
                <w:sz w:val="22"/>
              </w:rPr>
            </w:pPr>
            <w:r>
              <w:rPr>
                <w:sz w:val="22"/>
              </w:rPr>
              <w:t>L</w:t>
            </w:r>
            <w:r w:rsidRPr="00603043">
              <w:rPr>
                <w:sz w:val="22"/>
              </w:rPr>
              <w:t>ūdzam precizēt “Projekta iesnieguma kritēriju un piemērošanas metodiku” atbilstoši Eiropas Reģionālās attīstības fonda, Eiropas Sociālā fonda plus, Kohēzijas fonda un Taisnīgas pārkārtošanās fonda projektu iesniegumu atlases metodikai 2021.–</w:t>
            </w:r>
            <w:proofErr w:type="gramStart"/>
            <w:r w:rsidRPr="00603043">
              <w:rPr>
                <w:sz w:val="22"/>
              </w:rPr>
              <w:t>2027.gadam</w:t>
            </w:r>
            <w:proofErr w:type="gramEnd"/>
            <w:r w:rsidRPr="00603043">
              <w:rPr>
                <w:sz w:val="22"/>
              </w:rPr>
              <w:t xml:space="preserve"> Nr.3.1.</w:t>
            </w:r>
          </w:p>
        </w:tc>
        <w:tc>
          <w:tcPr>
            <w:tcW w:w="2550" w:type="dxa"/>
          </w:tcPr>
          <w:p w14:paraId="381A6750" w14:textId="254EDF35" w:rsidR="00603043" w:rsidRPr="000054D9" w:rsidRDefault="237E4272" w:rsidP="1088AD53">
            <w:pPr>
              <w:pStyle w:val="Standard"/>
              <w:jc w:val="both"/>
              <w:rPr>
                <w:sz w:val="22"/>
              </w:rPr>
            </w:pPr>
            <w:r w:rsidRPr="1088AD53">
              <w:rPr>
                <w:b/>
                <w:bCs/>
                <w:sz w:val="22"/>
              </w:rPr>
              <w:t>Ņemts vērā</w:t>
            </w:r>
          </w:p>
        </w:tc>
        <w:tc>
          <w:tcPr>
            <w:tcW w:w="2558" w:type="dxa"/>
          </w:tcPr>
          <w:p w14:paraId="67FA280D" w14:textId="77777777" w:rsidR="00603043" w:rsidRPr="000054D9" w:rsidRDefault="00603043" w:rsidP="00603043">
            <w:pPr>
              <w:pStyle w:val="Standard"/>
              <w:jc w:val="both"/>
              <w:rPr>
                <w:sz w:val="22"/>
              </w:rPr>
            </w:pPr>
          </w:p>
        </w:tc>
      </w:tr>
      <w:tr w:rsidR="19AF45ED" w14:paraId="134FAF5B" w14:textId="77777777" w:rsidTr="47386AC0">
        <w:trPr>
          <w:trHeight w:val="300"/>
        </w:trPr>
        <w:tc>
          <w:tcPr>
            <w:tcW w:w="555" w:type="dxa"/>
          </w:tcPr>
          <w:p w14:paraId="59404591" w14:textId="74BE3020" w:rsidR="19AF45ED" w:rsidRDefault="008874B6" w:rsidP="008874B6">
            <w:pPr>
              <w:pStyle w:val="Standard"/>
              <w:rPr>
                <w:b/>
                <w:bCs/>
                <w:sz w:val="22"/>
              </w:rPr>
            </w:pPr>
            <w:r>
              <w:rPr>
                <w:b/>
                <w:bCs/>
                <w:sz w:val="22"/>
              </w:rPr>
              <w:t>12.</w:t>
            </w:r>
          </w:p>
        </w:tc>
        <w:tc>
          <w:tcPr>
            <w:tcW w:w="2482" w:type="dxa"/>
          </w:tcPr>
          <w:p w14:paraId="5E369F67" w14:textId="537BE16F" w:rsidR="22C84285" w:rsidRDefault="22C84285" w:rsidP="19AF45ED">
            <w:pPr>
              <w:pStyle w:val="Standard"/>
              <w:jc w:val="both"/>
              <w:rPr>
                <w:rFonts w:cs="Times New Roman"/>
                <w:b/>
                <w:bCs/>
                <w:sz w:val="22"/>
              </w:rPr>
            </w:pPr>
            <w:r w:rsidRPr="19AF45ED">
              <w:rPr>
                <w:rFonts w:cs="Times New Roman"/>
                <w:b/>
                <w:bCs/>
                <w:sz w:val="22"/>
              </w:rPr>
              <w:t>Vienoti</w:t>
            </w:r>
            <w:r w:rsidR="79DD33A8" w:rsidRPr="19AF45ED">
              <w:rPr>
                <w:rFonts w:cs="Times New Roman"/>
                <w:b/>
                <w:bCs/>
                <w:sz w:val="22"/>
              </w:rPr>
              <w:t xml:space="preserve">e </w:t>
            </w:r>
            <w:r w:rsidRPr="19AF45ED">
              <w:rPr>
                <w:rFonts w:cs="Times New Roman"/>
                <w:b/>
                <w:bCs/>
                <w:sz w:val="22"/>
              </w:rPr>
              <w:t>izvēles kritērij</w:t>
            </w:r>
            <w:r w:rsidR="6A829A81" w:rsidRPr="19AF45ED">
              <w:rPr>
                <w:rFonts w:cs="Times New Roman"/>
                <w:b/>
                <w:bCs/>
                <w:sz w:val="22"/>
              </w:rPr>
              <w:t>i</w:t>
            </w:r>
          </w:p>
          <w:p w14:paraId="4ADF79CD" w14:textId="1777A997" w:rsidR="19AF45ED" w:rsidRDefault="19AF45ED" w:rsidP="19AF45ED">
            <w:pPr>
              <w:pStyle w:val="Standard"/>
              <w:jc w:val="both"/>
              <w:rPr>
                <w:b/>
                <w:bCs/>
                <w:sz w:val="22"/>
              </w:rPr>
            </w:pPr>
          </w:p>
        </w:tc>
        <w:tc>
          <w:tcPr>
            <w:tcW w:w="5803" w:type="dxa"/>
          </w:tcPr>
          <w:p w14:paraId="7687C16D" w14:textId="255BFBF1" w:rsidR="22C84285" w:rsidRDefault="22C84285" w:rsidP="19AF45ED">
            <w:pPr>
              <w:pStyle w:val="Standard"/>
              <w:jc w:val="both"/>
              <w:rPr>
                <w:b/>
                <w:bCs/>
                <w:sz w:val="22"/>
              </w:rPr>
            </w:pPr>
            <w:r w:rsidRPr="19AF45ED">
              <w:rPr>
                <w:b/>
                <w:bCs/>
                <w:sz w:val="22"/>
              </w:rPr>
              <w:t>Finanšu ministrija (KAKD)</w:t>
            </w:r>
          </w:p>
          <w:p w14:paraId="49622690" w14:textId="684C81C9" w:rsidR="19AF45ED" w:rsidRDefault="19AF45ED" w:rsidP="19AF45ED">
            <w:pPr>
              <w:pStyle w:val="Standard"/>
              <w:jc w:val="both"/>
              <w:rPr>
                <w:rFonts w:cs="Times New Roman"/>
                <w:b/>
                <w:bCs/>
                <w:sz w:val="22"/>
              </w:rPr>
            </w:pPr>
          </w:p>
          <w:p w14:paraId="2BFA2360" w14:textId="2B52AFF2" w:rsidR="22C84285" w:rsidRDefault="22C84285" w:rsidP="008874B6">
            <w:pPr>
              <w:jc w:val="both"/>
              <w:rPr>
                <w:rFonts w:eastAsia="Times New Roman" w:cs="Times New Roman"/>
                <w:sz w:val="22"/>
              </w:rPr>
            </w:pPr>
            <w:r w:rsidRPr="19AF45ED">
              <w:rPr>
                <w:rFonts w:eastAsia="Times New Roman" w:cs="Times New Roman"/>
                <w:sz w:val="22"/>
              </w:rPr>
              <w:t xml:space="preserve">Vienlaikus, ņemot vērā, ka konkrētā 4.3.4.9. pasākuma MK noteikumi ir izstrādes stadijā un nav skaidrs, kādi ir sadarbības partneru izvēles nosacījumi un to pasākumā plānoto darbību raksturs, proti, vai sadarbības partneri veic saimniecisko darbību un pasākumā sniegtais atbalsts var kvalificēties kā komercdarbības atbalsts, pēc MK noteikumu saskaņošanas ir vērtējams, vai kritēriju piemērošanas metodika būtu papildināma ar vienoto izvēles kritēriju “Projekta iesniegums atbilst MK noteikumos par SAM īstenošanu noteiktajam, lai tas nekvalificētos kā komercdarbības atbalsts (ja attiecināms)” atbilstoši 11.04.2024. apstiprinātās vienotās atlases metodikas Nr. 3.1 </w:t>
            </w:r>
            <w:r w:rsidRPr="19AF45ED">
              <w:rPr>
                <w:rFonts w:eastAsia="Times New Roman" w:cs="Times New Roman"/>
                <w:i/>
                <w:iCs/>
                <w:sz w:val="22"/>
              </w:rPr>
              <w:t>Eiropas Reģionālās attīstības fonda, Eiropas Sociālā fonda plus, Kohēzijas fonda un Taisnīgas pārkārtošanās fonda projektu iesniegumu atlases metodika 2021.–2027.gadam</w:t>
            </w:r>
            <w:r w:rsidRPr="19AF45ED">
              <w:rPr>
                <w:rFonts w:eastAsia="Times New Roman" w:cs="Times New Roman"/>
                <w:sz w:val="22"/>
              </w:rPr>
              <w:t xml:space="preserve"> 5. pielikuma 9. punktā noteiktajam, ietverot skaidrojumu pie iepriekš minētā kritērija, ka un kā tas tiks vērtēts visos līmeņos – attiecībā uz finansējuma saņēmēju un sadarbības partneriem.</w:t>
            </w:r>
          </w:p>
          <w:p w14:paraId="6E6DDC1B" w14:textId="4635A7B8" w:rsidR="19AF45ED" w:rsidRDefault="19AF45ED" w:rsidP="19AF45ED">
            <w:pPr>
              <w:pStyle w:val="Standard"/>
              <w:jc w:val="both"/>
              <w:rPr>
                <w:rFonts w:cs="Times New Roman"/>
                <w:b/>
                <w:bCs/>
                <w:sz w:val="22"/>
              </w:rPr>
            </w:pPr>
          </w:p>
        </w:tc>
        <w:tc>
          <w:tcPr>
            <w:tcW w:w="2550" w:type="dxa"/>
          </w:tcPr>
          <w:p w14:paraId="23F5D4AE" w14:textId="254EDF35" w:rsidR="19AF45ED" w:rsidRDefault="386DBBE0" w:rsidP="47386AC0">
            <w:pPr>
              <w:pStyle w:val="Standard"/>
              <w:jc w:val="both"/>
              <w:rPr>
                <w:sz w:val="22"/>
              </w:rPr>
            </w:pPr>
            <w:r w:rsidRPr="47386AC0">
              <w:rPr>
                <w:b/>
                <w:bCs/>
                <w:sz w:val="22"/>
              </w:rPr>
              <w:t>Ņemts vērā</w:t>
            </w:r>
          </w:p>
          <w:p w14:paraId="360D96D3" w14:textId="6A537BBD" w:rsidR="19AF45ED" w:rsidRDefault="19AF45ED" w:rsidP="19AF45ED">
            <w:pPr>
              <w:pStyle w:val="Standard"/>
              <w:jc w:val="both"/>
              <w:rPr>
                <w:sz w:val="22"/>
              </w:rPr>
            </w:pPr>
          </w:p>
        </w:tc>
        <w:tc>
          <w:tcPr>
            <w:tcW w:w="2558" w:type="dxa"/>
          </w:tcPr>
          <w:p w14:paraId="783450AB" w14:textId="7703CA03" w:rsidR="19AF45ED" w:rsidRDefault="19AF45ED" w:rsidP="19AF45ED">
            <w:pPr>
              <w:pStyle w:val="Standard"/>
              <w:jc w:val="both"/>
              <w:rPr>
                <w:sz w:val="22"/>
              </w:rPr>
            </w:pP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10"/>
      <w:footerReference w:type="default" r:id="rId11"/>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7DD9" w14:textId="77777777" w:rsidR="00BA461D" w:rsidRDefault="00BA461D" w:rsidP="00137F01">
      <w:r>
        <w:separator/>
      </w:r>
    </w:p>
  </w:endnote>
  <w:endnote w:type="continuationSeparator" w:id="0">
    <w:p w14:paraId="57380EB9" w14:textId="77777777" w:rsidR="00BA461D" w:rsidRDefault="00BA461D"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1EFABF2C" w:rsidR="00A57181" w:rsidRDefault="00A57181">
        <w:pPr>
          <w:pStyle w:val="Kjene"/>
          <w:jc w:val="center"/>
        </w:pPr>
        <w:r>
          <w:fldChar w:fldCharType="begin"/>
        </w:r>
        <w:r>
          <w:instrText xml:space="preserve"> PAGE   \* MERGEFORMAT </w:instrText>
        </w:r>
        <w:r>
          <w:fldChar w:fldCharType="separate"/>
        </w:r>
        <w:r w:rsidR="00041E01">
          <w:rPr>
            <w:noProof/>
          </w:rPr>
          <w:t>1</w:t>
        </w:r>
        <w:r>
          <w:rPr>
            <w:noProof/>
          </w:rPr>
          <w:fldChar w:fldCharType="end"/>
        </w:r>
      </w:p>
    </w:sdtContent>
  </w:sdt>
  <w:p w14:paraId="183E44C5" w14:textId="77777777" w:rsidR="00941BB3" w:rsidRDefault="00941B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C52B" w14:textId="77777777" w:rsidR="00BA461D" w:rsidRDefault="00BA461D" w:rsidP="00137F01">
      <w:r>
        <w:separator/>
      </w:r>
    </w:p>
  </w:footnote>
  <w:footnote w:type="continuationSeparator" w:id="0">
    <w:p w14:paraId="244D6741" w14:textId="77777777" w:rsidR="00BA461D" w:rsidRDefault="00BA461D"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298E2645" w:rsidR="00941BB3" w:rsidRPr="00137F01" w:rsidRDefault="00340749" w:rsidP="00911740">
    <w:pPr>
      <w:pStyle w:val="Galvene"/>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4-06-04T00:00:00Z">
          <w:dateFormat w:val="dd.MM.yyyy"/>
          <w:lid w:val="lv-LV"/>
          <w:storeMappedDataAs w:val="dateTime"/>
          <w:calendar w:val="gregorian"/>
        </w:date>
      </w:sdtPr>
      <w:sdtEndPr/>
      <w:sdtContent>
        <w:r w:rsidR="00941BB3">
          <w:rPr>
            <w:rFonts w:cs="Times New Roman"/>
            <w:i/>
            <w:szCs w:val="24"/>
          </w:rPr>
          <w:t>04.06.2024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26B"/>
    <w:multiLevelType w:val="hybridMultilevel"/>
    <w:tmpl w:val="1C4026BE"/>
    <w:lvl w:ilvl="0" w:tplc="A8DA2BE4">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5E47F7"/>
    <w:multiLevelType w:val="hybridMultilevel"/>
    <w:tmpl w:val="5E26378C"/>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417A4"/>
    <w:multiLevelType w:val="hybridMultilevel"/>
    <w:tmpl w:val="01C68022"/>
    <w:lvl w:ilvl="0" w:tplc="24E84402">
      <w:start w:val="1"/>
      <w:numFmt w:val="decimal"/>
      <w:lvlText w:val="%1."/>
      <w:lvlJc w:val="left"/>
      <w:pPr>
        <w:ind w:left="720" w:hanging="360"/>
      </w:pPr>
    </w:lvl>
    <w:lvl w:ilvl="1" w:tplc="80A25102">
      <w:start w:val="1"/>
      <w:numFmt w:val="lowerLetter"/>
      <w:lvlText w:val="%2."/>
      <w:lvlJc w:val="left"/>
      <w:pPr>
        <w:ind w:left="1440" w:hanging="360"/>
      </w:pPr>
    </w:lvl>
    <w:lvl w:ilvl="2" w:tplc="28EC3FE2">
      <w:start w:val="1"/>
      <w:numFmt w:val="lowerRoman"/>
      <w:lvlText w:val="%3."/>
      <w:lvlJc w:val="right"/>
      <w:pPr>
        <w:ind w:left="2160" w:hanging="180"/>
      </w:pPr>
    </w:lvl>
    <w:lvl w:ilvl="3" w:tplc="1BE229CE">
      <w:start w:val="1"/>
      <w:numFmt w:val="decimal"/>
      <w:lvlText w:val="%4."/>
      <w:lvlJc w:val="left"/>
      <w:pPr>
        <w:ind w:left="2880" w:hanging="360"/>
      </w:pPr>
    </w:lvl>
    <w:lvl w:ilvl="4" w:tplc="1E80784C">
      <w:start w:val="1"/>
      <w:numFmt w:val="lowerLetter"/>
      <w:lvlText w:val="%5."/>
      <w:lvlJc w:val="left"/>
      <w:pPr>
        <w:ind w:left="3600" w:hanging="360"/>
      </w:pPr>
    </w:lvl>
    <w:lvl w:ilvl="5" w:tplc="65A25242">
      <w:start w:val="1"/>
      <w:numFmt w:val="lowerRoman"/>
      <w:lvlText w:val="%6."/>
      <w:lvlJc w:val="right"/>
      <w:pPr>
        <w:ind w:left="4320" w:hanging="180"/>
      </w:pPr>
    </w:lvl>
    <w:lvl w:ilvl="6" w:tplc="FD7C249E">
      <w:start w:val="1"/>
      <w:numFmt w:val="decimal"/>
      <w:lvlText w:val="%7."/>
      <w:lvlJc w:val="left"/>
      <w:pPr>
        <w:ind w:left="5040" w:hanging="360"/>
      </w:pPr>
    </w:lvl>
    <w:lvl w:ilvl="7" w:tplc="15E2D206">
      <w:start w:val="1"/>
      <w:numFmt w:val="lowerLetter"/>
      <w:lvlText w:val="%8."/>
      <w:lvlJc w:val="left"/>
      <w:pPr>
        <w:ind w:left="5760" w:hanging="360"/>
      </w:pPr>
    </w:lvl>
    <w:lvl w:ilvl="8" w:tplc="DE9EEFD6">
      <w:start w:val="1"/>
      <w:numFmt w:val="lowerRoman"/>
      <w:lvlText w:val="%9."/>
      <w:lvlJc w:val="right"/>
      <w:pPr>
        <w:ind w:left="6480" w:hanging="180"/>
      </w:pPr>
    </w:lvl>
  </w:abstractNum>
  <w:abstractNum w:abstractNumId="3"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3"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7A83B12"/>
    <w:multiLevelType w:val="hybridMultilevel"/>
    <w:tmpl w:val="3494642C"/>
    <w:lvl w:ilvl="0" w:tplc="C98C828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2720577">
    <w:abstractNumId w:val="2"/>
  </w:num>
  <w:num w:numId="2" w16cid:durableId="515463603">
    <w:abstractNumId w:val="8"/>
  </w:num>
  <w:num w:numId="3" w16cid:durableId="231356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7648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296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132241">
    <w:abstractNumId w:val="12"/>
  </w:num>
  <w:num w:numId="7" w16cid:durableId="1438597007">
    <w:abstractNumId w:val="4"/>
  </w:num>
  <w:num w:numId="8" w16cid:durableId="104161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2925338">
    <w:abstractNumId w:val="7"/>
  </w:num>
  <w:num w:numId="10" w16cid:durableId="1523201113">
    <w:abstractNumId w:val="9"/>
  </w:num>
  <w:num w:numId="11" w16cid:durableId="1378159493">
    <w:abstractNumId w:val="3"/>
  </w:num>
  <w:num w:numId="12" w16cid:durableId="2060738101">
    <w:abstractNumId w:val="6"/>
  </w:num>
  <w:num w:numId="13" w16cid:durableId="1777021998">
    <w:abstractNumId w:val="13"/>
  </w:num>
  <w:num w:numId="14" w16cid:durableId="1892032716">
    <w:abstractNumId w:val="10"/>
  </w:num>
  <w:num w:numId="15" w16cid:durableId="1435633611">
    <w:abstractNumId w:val="1"/>
  </w:num>
  <w:num w:numId="16" w16cid:durableId="1294336562">
    <w:abstractNumId w:val="15"/>
  </w:num>
  <w:num w:numId="17" w16cid:durableId="65282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054D9"/>
    <w:rsid w:val="00041E01"/>
    <w:rsid w:val="000F10C7"/>
    <w:rsid w:val="00137F01"/>
    <w:rsid w:val="001767D5"/>
    <w:rsid w:val="00205426"/>
    <w:rsid w:val="00210556"/>
    <w:rsid w:val="0026659A"/>
    <w:rsid w:val="00290BFC"/>
    <w:rsid w:val="00340749"/>
    <w:rsid w:val="00353B5E"/>
    <w:rsid w:val="003876D5"/>
    <w:rsid w:val="003F16D6"/>
    <w:rsid w:val="00461358"/>
    <w:rsid w:val="00510407"/>
    <w:rsid w:val="005340A2"/>
    <w:rsid w:val="00594A0D"/>
    <w:rsid w:val="005A2C0C"/>
    <w:rsid w:val="00603043"/>
    <w:rsid w:val="008874B6"/>
    <w:rsid w:val="008B4943"/>
    <w:rsid w:val="00941BB3"/>
    <w:rsid w:val="0095483D"/>
    <w:rsid w:val="009D1F18"/>
    <w:rsid w:val="00A57181"/>
    <w:rsid w:val="00B31B06"/>
    <w:rsid w:val="00B4039D"/>
    <w:rsid w:val="00B84E05"/>
    <w:rsid w:val="00BA461D"/>
    <w:rsid w:val="00D70342"/>
    <w:rsid w:val="00D7541E"/>
    <w:rsid w:val="00E35E61"/>
    <w:rsid w:val="00EE0A56"/>
    <w:rsid w:val="00F14914"/>
    <w:rsid w:val="00F31325"/>
    <w:rsid w:val="0810158E"/>
    <w:rsid w:val="0813D59F"/>
    <w:rsid w:val="08514942"/>
    <w:rsid w:val="08D1FF64"/>
    <w:rsid w:val="0F36C741"/>
    <w:rsid w:val="1088AD53"/>
    <w:rsid w:val="10955C70"/>
    <w:rsid w:val="122F0888"/>
    <w:rsid w:val="1733302A"/>
    <w:rsid w:val="19AF45ED"/>
    <w:rsid w:val="19D93A2C"/>
    <w:rsid w:val="1A13D22B"/>
    <w:rsid w:val="1CAE8DBD"/>
    <w:rsid w:val="1D1C861F"/>
    <w:rsid w:val="1D9114DE"/>
    <w:rsid w:val="20851019"/>
    <w:rsid w:val="22C84285"/>
    <w:rsid w:val="237E4272"/>
    <w:rsid w:val="2715587A"/>
    <w:rsid w:val="27448A6B"/>
    <w:rsid w:val="294B00E6"/>
    <w:rsid w:val="2C3BAEB2"/>
    <w:rsid w:val="2FE454A8"/>
    <w:rsid w:val="311A19B5"/>
    <w:rsid w:val="33087BE7"/>
    <w:rsid w:val="3648FAA7"/>
    <w:rsid w:val="37E727CA"/>
    <w:rsid w:val="386DBBE0"/>
    <w:rsid w:val="3A609621"/>
    <w:rsid w:val="3DB8C9E6"/>
    <w:rsid w:val="40DCFDE7"/>
    <w:rsid w:val="44C0FD7D"/>
    <w:rsid w:val="44FE5619"/>
    <w:rsid w:val="47386AC0"/>
    <w:rsid w:val="48579144"/>
    <w:rsid w:val="4B7F1A42"/>
    <w:rsid w:val="4DE93BAE"/>
    <w:rsid w:val="50E68041"/>
    <w:rsid w:val="532694D2"/>
    <w:rsid w:val="5370511E"/>
    <w:rsid w:val="550C217F"/>
    <w:rsid w:val="56A124EE"/>
    <w:rsid w:val="5731DEF1"/>
    <w:rsid w:val="58570DA2"/>
    <w:rsid w:val="59E944C4"/>
    <w:rsid w:val="5B756EB6"/>
    <w:rsid w:val="63B2DB69"/>
    <w:rsid w:val="6A829A81"/>
    <w:rsid w:val="6B4FB807"/>
    <w:rsid w:val="6D256AA3"/>
    <w:rsid w:val="7092EEB8"/>
    <w:rsid w:val="71BF8B86"/>
    <w:rsid w:val="73A82316"/>
    <w:rsid w:val="77A9CED4"/>
    <w:rsid w:val="77FE912D"/>
    <w:rsid w:val="78A296FD"/>
    <w:rsid w:val="79DD33A8"/>
    <w:rsid w:val="7D9727DA"/>
    <w:rsid w:val="7E861531"/>
    <w:rsid w:val="7FB3C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Virsraksts1">
    <w:name w:val="heading 1"/>
    <w:next w:val="Parasts"/>
    <w:link w:val="Virsraksts1Rakstz"/>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Sarakstarindkopa">
    <w:name w:val="List Paragraph"/>
    <w:aliases w:val="H&amp;P List Paragraph,2,Strip,Saraksta rindkopa1,Normal bullet 2,Bullet list,List Paragraph1"/>
    <w:basedOn w:val="Standard"/>
    <w:link w:val="SarakstarindkopaRakstz"/>
    <w:uiPriority w:val="34"/>
    <w:qFormat/>
    <w:rsid w:val="00137F01"/>
    <w:pPr>
      <w:ind w:left="720"/>
    </w:pPr>
  </w:style>
  <w:style w:type="paragraph" w:styleId="Galvene">
    <w:name w:val="header"/>
    <w:basedOn w:val="Parasts"/>
    <w:link w:val="GalveneRakstz"/>
    <w:uiPriority w:val="99"/>
    <w:unhideWhenUsed/>
    <w:rsid w:val="00137F01"/>
    <w:pPr>
      <w:tabs>
        <w:tab w:val="center" w:pos="4153"/>
        <w:tab w:val="right" w:pos="8306"/>
      </w:tabs>
    </w:pPr>
  </w:style>
  <w:style w:type="character" w:customStyle="1" w:styleId="GalveneRakstz">
    <w:name w:val="Galvene Rakstz."/>
    <w:basedOn w:val="Noklusjumarindkopasfonts"/>
    <w:link w:val="Galvene"/>
    <w:uiPriority w:val="99"/>
    <w:rsid w:val="00137F01"/>
    <w:rPr>
      <w:rFonts w:eastAsia="SimSun" w:cs="F"/>
      <w:kern w:val="3"/>
      <w:szCs w:val="22"/>
      <w14:ligatures w14:val="none"/>
    </w:rPr>
  </w:style>
  <w:style w:type="paragraph" w:styleId="Kjene">
    <w:name w:val="footer"/>
    <w:basedOn w:val="Parasts"/>
    <w:link w:val="KjeneRakstz"/>
    <w:uiPriority w:val="99"/>
    <w:unhideWhenUsed/>
    <w:rsid w:val="00137F01"/>
    <w:pPr>
      <w:tabs>
        <w:tab w:val="center" w:pos="4153"/>
        <w:tab w:val="right" w:pos="8306"/>
      </w:tabs>
    </w:pPr>
  </w:style>
  <w:style w:type="character" w:customStyle="1" w:styleId="KjeneRakstz">
    <w:name w:val="Kājene Rakstz."/>
    <w:basedOn w:val="Noklusjumarindkopasfonts"/>
    <w:link w:val="Kjene"/>
    <w:uiPriority w:val="99"/>
    <w:rsid w:val="00137F01"/>
    <w:rPr>
      <w:rFonts w:eastAsia="SimSun" w:cs="F"/>
      <w:kern w:val="3"/>
      <w:szCs w:val="22"/>
      <w14:ligatures w14:val="none"/>
    </w:rPr>
  </w:style>
  <w:style w:type="character" w:styleId="Komentraatsauce">
    <w:name w:val="annotation reference"/>
    <w:basedOn w:val="Noklusjumarindkopasfonts"/>
    <w:uiPriority w:val="99"/>
    <w:semiHidden/>
    <w:unhideWhenUsed/>
    <w:rsid w:val="00137F01"/>
    <w:rPr>
      <w:sz w:val="16"/>
      <w:szCs w:val="16"/>
    </w:rPr>
  </w:style>
  <w:style w:type="paragraph" w:styleId="Komentrateksts">
    <w:name w:val="annotation text"/>
    <w:basedOn w:val="Parasts"/>
    <w:link w:val="KomentratekstsRakstz"/>
    <w:uiPriority w:val="99"/>
    <w:unhideWhenUsed/>
    <w:rsid w:val="00137F01"/>
    <w:rPr>
      <w:sz w:val="20"/>
      <w:szCs w:val="20"/>
    </w:rPr>
  </w:style>
  <w:style w:type="character" w:customStyle="1" w:styleId="KomentratekstsRakstz">
    <w:name w:val="Komentāra teksts Rakstz."/>
    <w:basedOn w:val="Noklusjumarindkopasfonts"/>
    <w:link w:val="Komentrateksts"/>
    <w:uiPriority w:val="99"/>
    <w:rsid w:val="00137F01"/>
    <w:rPr>
      <w:rFonts w:eastAsia="SimSun" w:cs="F"/>
      <w:kern w:val="3"/>
      <w:sz w:val="20"/>
      <w:szCs w:val="20"/>
      <w14:ligatures w14:val="none"/>
    </w:rPr>
  </w:style>
  <w:style w:type="paragraph" w:styleId="Komentratma">
    <w:name w:val="annotation subject"/>
    <w:basedOn w:val="Komentrateksts"/>
    <w:next w:val="Komentrateksts"/>
    <w:link w:val="KomentratmaRakstz"/>
    <w:uiPriority w:val="99"/>
    <w:semiHidden/>
    <w:unhideWhenUsed/>
    <w:rsid w:val="00137F01"/>
    <w:rPr>
      <w:b/>
      <w:bCs/>
    </w:rPr>
  </w:style>
  <w:style w:type="character" w:customStyle="1" w:styleId="KomentratmaRakstz">
    <w:name w:val="Komentāra tēma Rakstz."/>
    <w:basedOn w:val="KomentratekstsRakstz"/>
    <w:link w:val="Komentratma"/>
    <w:uiPriority w:val="99"/>
    <w:semiHidden/>
    <w:rsid w:val="00137F01"/>
    <w:rPr>
      <w:rFonts w:eastAsia="SimSun" w:cs="F"/>
      <w:b/>
      <w:bCs/>
      <w:kern w:val="3"/>
      <w:sz w:val="20"/>
      <w:szCs w:val="20"/>
      <w14:ligatures w14:val="none"/>
    </w:rPr>
  </w:style>
  <w:style w:type="paragraph" w:styleId="Balonteksts">
    <w:name w:val="Balloon Text"/>
    <w:basedOn w:val="Parasts"/>
    <w:link w:val="BalontekstsRakstz"/>
    <w:uiPriority w:val="99"/>
    <w:semiHidden/>
    <w:unhideWhenUsed/>
    <w:rsid w:val="00137F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7F01"/>
    <w:rPr>
      <w:rFonts w:ascii="Segoe UI" w:eastAsia="SimSun" w:hAnsi="Segoe UI" w:cs="Segoe UI"/>
      <w:kern w:val="3"/>
      <w:sz w:val="18"/>
      <w:szCs w:val="18"/>
      <w14:ligatures w14:val="none"/>
    </w:rPr>
  </w:style>
  <w:style w:type="character" w:styleId="Hipersaite">
    <w:name w:val="Hyperlink"/>
    <w:basedOn w:val="Noklusjumarindkopasfonts"/>
    <w:uiPriority w:val="99"/>
    <w:unhideWhenUsed/>
    <w:rsid w:val="00137F01"/>
    <w:rPr>
      <w:color w:val="0563C1"/>
      <w:u w:val="single"/>
    </w:rPr>
  </w:style>
  <w:style w:type="character" w:customStyle="1" w:styleId="NoteikumutekstamRakstz">
    <w:name w:val="Noteikumu tekstam Rakstz."/>
    <w:basedOn w:val="Noklusjumarindkopasfonts"/>
    <w:link w:val="Noteikumutekstam"/>
    <w:locked/>
    <w:rsid w:val="00137F01"/>
  </w:style>
  <w:style w:type="paragraph" w:customStyle="1" w:styleId="Noteikumutekstam">
    <w:name w:val="Noteikumu tekstam"/>
    <w:basedOn w:val="Parasts"/>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Bezatstarpm">
    <w:name w:val="No Spacing"/>
    <w:basedOn w:val="Parasts"/>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Reatabula">
    <w:name w:val="Table Grid"/>
    <w:basedOn w:val="Parastatabula"/>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Saraksta rindkopa1 Rakstz.,Normal bullet 2 Rakstz.,Bullet list Rakstz.,List Paragraph1 Rakstz."/>
    <w:basedOn w:val="Noklusjumarindkopasfonts"/>
    <w:link w:val="Sarakstarindkopa"/>
    <w:uiPriority w:val="34"/>
    <w:locked/>
    <w:rsid w:val="00137F01"/>
    <w:rPr>
      <w:rFonts w:eastAsia="Calibri"/>
      <w:kern w:val="3"/>
      <w:szCs w:val="22"/>
      <w14:ligatures w14:val="none"/>
    </w:rPr>
  </w:style>
  <w:style w:type="paragraph" w:customStyle="1" w:styleId="Default">
    <w:name w:val="Default"/>
    <w:basedOn w:val="Parasts"/>
    <w:rsid w:val="00137F01"/>
    <w:pPr>
      <w:widowControl/>
      <w:suppressAutoHyphens w:val="0"/>
      <w:autoSpaceDE w:val="0"/>
      <w:textAlignment w:val="auto"/>
    </w:pPr>
    <w:rPr>
      <w:rFonts w:eastAsiaTheme="minorHAnsi" w:cs="Times New Roman"/>
      <w:color w:val="000000"/>
      <w:kern w:val="0"/>
      <w:szCs w:val="24"/>
      <w:lang w:eastAsia="lv-LV"/>
    </w:rPr>
  </w:style>
  <w:style w:type="character" w:styleId="Vietturateksts">
    <w:name w:val="Placeholder Text"/>
    <w:basedOn w:val="Noklusjumarindkopasfonts"/>
    <w:uiPriority w:val="99"/>
    <w:semiHidden/>
    <w:rsid w:val="00137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Vietturatekst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461358"/>
    <w:rsid w:val="00510407"/>
    <w:rsid w:val="00994E0D"/>
    <w:rsid w:val="009D1F18"/>
    <w:rsid w:val="00B4039D"/>
    <w:rsid w:val="00F14914"/>
    <w:rsid w:val="00F31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EEAB0-23F9-4CCC-BDD7-527BF57749D0}">
  <ds:schemaRefs>
    <ds:schemaRef ds:uri="http://schemas.microsoft.com/sharepoint/v3/contenttype/forms"/>
  </ds:schemaRefs>
</ds:datastoreItem>
</file>

<file path=customXml/itemProps2.xml><?xml version="1.0" encoding="utf-8"?>
<ds:datastoreItem xmlns:ds="http://schemas.openxmlformats.org/officeDocument/2006/customXml" ds:itemID="{3DDF591E-558A-485B-9A41-7506C17AEBEC}">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3.xml><?xml version="1.0" encoding="utf-8"?>
<ds:datastoreItem xmlns:ds="http://schemas.openxmlformats.org/officeDocument/2006/customXml" ds:itemID="{7B040118-381F-4162-B8B0-81106C9E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8</Pages>
  <Words>10359</Words>
  <Characters>5906</Characters>
  <Application>Microsoft Office Word</Application>
  <DocSecurity>0</DocSecurity>
  <Lines>49</Lines>
  <Paragraphs>32</Paragraphs>
  <ScaleCrop>false</ScaleCrop>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Linda Krūmiņa</cp:lastModifiedBy>
  <cp:revision>6</cp:revision>
  <dcterms:created xsi:type="dcterms:W3CDTF">2024-06-12T05:47:00Z</dcterms:created>
  <dcterms:modified xsi:type="dcterms:W3CDTF">2024-06-12T10:52:00Z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