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1. Tiesību akta projekta izstrādes nepieciešamība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Anotācijas (ex-ante)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akta projekta "Eiropas Savienības kohēzijas politikas programmas 2021. – 2027. gadam 4.2.4. specifiskā atbalsta mērķa "Veicināt mūžizglītību, jo īpaši piedāvājot elastīgas prasmju pilnveides un pārkvalifikācijas iespējas visiem, ņemot vērā uzņēmējdarbības un digitālās prasmes, labāk prognozējot pārmaiņas un vajadzību pēc jaunām prasmēm, pamatojoties uz darba tirgus vajadzībām, atvieglojot karjeras maiņu un sekmējot profesionālo mobilitāti" 4.2.4.3. pasākuma "Digitālo prasmju pilnveide" īstenošanas noteikumi" sākotnējās ietekmes (ex-ante) novērtējuma ziņojums (anotācija)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1.1. Pamatojums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Izstrādes 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Ministrijas / iestādes iniciatīva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(turpmāk – MK) noteikumu projekts "Eiropas Savienības kohēzijas politikas programmas 2021.–2027. gadam 4.2.4. specifiskā atbalsta mērķa "Veicināt mūžizglītību, jo īpaši piedāvājot elastīgas prasmju pilnveides un pārkvalifikācijas iespējas visiem, ņemot vērā uzņēmējdarbības un digitālās prasmes, labāk prognozējot pārmaiņas un vajadzību pēc jaunām prasmēm, pamatojoties uz darba tirgus vajadzībām, atvieglojot karjeras maiņu un sekmējot profesionālo mobilitāti" 4.2.4.3. pasākuma "Digitālo prasmju pilnveide" īstenošanas noteikumi" (turpmāk – noteikumu projekts) izstrādāts, pamatojoties uz Eiropas Savienības fondu 2021. – 2027. gada plānošanas perioda vadības likuma 19. panta 6. un 13. punktu. Noteikumu projekta ietvaros tiks sniegts atbalsts sabiedrības digitālo iespēju izmantošanas veicināšanai saskaņā ar Digitālās transformācijas pamatnostādnēm 2021. – 2027. gadam (apstiprinātas ar MK 2021. gada 7. jūlija rīkojumu Nr. 490 "Par Digitālās transformācijas pamatnostādnēm 2021.-2027. gadam"). </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1.2. Mērķis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Mērķa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mērķis ir pilnveidot valsts un pašvaldību iestāžu darbinieku (digitālo mentoru) digitālās prasmes un veicināt uz sabiedrību un uzņēmējiem orientēto digitālo iespēju un platformu izmantošanu, tādējādi paaugstinot informācijas un komunikācijas tehnoloģiju iespēju izmantošanu, un mazinot digitālo plaisu sabiedrībā.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Spēkā stāšanās termiņš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Vispārējā kārtība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1.3. Pašreizējā situācija, problēmas un risinājumi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Pašreizējā situācija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Digitālās transformācijas pamatnostādnēs 2021.– 2027. gadam (apstiprinātas ar MK 2021. gada 7. jūlija rīkojumu Nr. 490 "Par Digitālās transformācijas pamatnostādnēm 2021.-2027. gadam") digitālo prasmju attīstīšana ir noteikta par valsts prioritāti.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Digitālās dekādes 2023. gada ziņojumā par Latviju (pieejams tīmekļvietnē: </w:t>
      </w:r>
      <w:r w:rsidR="00000000" w:rsidRPr="00000000" w:rsidDel="00000000">
        <w:rPr>
          <w:i w:val="1"/>
          <w:rtl w:val="0"/>
        </w:rPr>
        <w:t xml:space="preserve">https://digital-strategy.ec.europa.eu/en/library/2023-report-state-digital-decade</w:t>
      </w:r>
      <w:r w:rsidR="00000000" w:rsidRPr="00000000" w:rsidDel="00000000">
        <w:rPr>
          <w:rtl w:val="0"/>
        </w:rPr>
        <w:t xml:space="preserve">) iekļauts Eiropas Komisijas ieteikums Latvijai turpināt paātrināt centienus digitalizēt publiskos pakalpojumus un attīstīt digitālos publiskos pakalpojumus gan iedzīvotājiem, gan uzņēmumiem.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Eiropas Parlamenta un Padomes lēmumā (ES) 2022/2481 (2022. gada 14. decembris), ar ko izveido politikas programmu "Digitālās desmitgades ceļš" 2030. gadam (turpmāk – Dekādes programma), ir noteikti līdz 2030. gadam sasniedzamie vispārīgie digitālie mērķi un digitālie mērķrādītāji, to sasniegšanas uzraudzība un arī daudzvalstu projektu veidošana. Dekādes programmā noteikto digitālo mērķrādītāju sasniegšanas uzraudzība paredz Eiropas Savienības dalībvalstīm iesniegt Eiropas Komisijai valstu digitālās desmitgades stratēģiskos ceļvežus par laiku līdz 2030. gadam, rosinot, ja tas iespējams un izmērāms valstu līmenī, valstu prognozētās trajektorijas, kurās apraksta pieņemtos, plānotos vai īstenotos instrumentus, lai dotu ieguldījumu Dekādes programmā izklāstīto vispārīgo mērķu un digitālo mērķrādītāju sasniegšanā Eiropas Savienības līmenī. Lai nodrošinātu minētā uzdevuma izpildi, 2024. gada 30. janvārī MK tika pieņemts informatīvais ziņojums "Digitālās desmitgades stratēģiskais ceļvedis Latvijai līdz 2030. gadam" (protokols Nr.5/25§), kurā iekļauta informācija par Latvijas apņemšanos sasniegt Eiropas Komisijas izvirzīto mērķi līdz 2030. gadam – nodrošināt, ka visi galvenie publiskie pakalpojumi iedzīvotājiem un uzņēmējiem ir pieejami tiešsaistē. Tie ietver galvenos publiskos pakalpojumus, kas sniedzami iedzīvotājiem tiešsaistē, mērot pēc tā, kāds ir administratīvo procedūru īpatsvars, ko svarīgu dzīves notikumu gadījumā var pilnībā izpildīt tiešsaistē. Tas attiecas uz šādiem dzīves notikumiem: pārvākšanās, transports, maza apmēra prasību procedūras sākšana, ģimene, profesionālā dzīve, studijas, veselība.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Digitālās transformācijas pamatnostādnēs 2021.–2027. gadam noteikts, ka valsts pakalpojumi primāri tiek sniegti digitāli, nodrošinot to saņemšanu personai piemērotākajā, vienotā, profesionālā tīklā.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un risinājumi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Problēmas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Digitālās dekādes 2023. gada ziņojumā par Latviju norādītajam, Latvija joprojām ir nedaudz zem Eiropas Savienības vidējā rādītāja vismaz digitālo pamatprasmju ziņā (51% salīdzinājumā ar 54 %, tāds pats kā 2022. gada rezultāts), un tas joprojām ir ievērojami zemāks par Dekādes programmā noteikto mērķrādītāju – 80 % līdz 2030. gadam. Tas vien liecina par nepieciešamību īstenot dažāda veida izglītojošas un informējošas aktivitātes un pasākumu kopumus, lai sasniegtu 2030.gada mērķi un panākt pilnīgu publisko pakalpojumu pieejamību tiešsaistē.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Atvērto datu portālā data.gov.lv pieejamie dati par 2021., 2022. un 2023. gadu liecina, ka e-pakalpojumu izmantošana ik gadu turpina pieaugt. Piemēram, 2021. gadā e - pakalpojums "E-iesniegums VSAA pakalpojumiem" uzsākts 2 249 218 reizes, savukārt 2022. gadā – 2 334 788 reizes, lai gan 2023. gadā vērojams gan neliels kritums – 2 283 098 reizes (pieejams tīmekļvietnē: </w:t>
      </w:r>
      <w:r w:rsidR="00000000" w:rsidRPr="00000000" w:rsidDel="00000000">
        <w:rPr>
          <w:i w:val="1"/>
          <w:rtl w:val="0"/>
        </w:rPr>
        <w:t xml:space="preserve">https://data.gov.lv/dati/lv/dataset/statistika-par-latvija-lv-e-pakalpojumiem</w:t>
      </w:r>
      <w:r w:rsidR="00000000" w:rsidRPr="00000000" w:rsidDel="00000000">
        <w:rPr>
          <w:rtl w:val="0"/>
        </w:rPr>
        <w:t xml:space="preserve">), minētie dati liecina par līdz šim veikto digitālo risinājumu izmantošanas veicināšanas īstenoto darbību efektivitāti.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Risinājuma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augstāk minētos Dekādes programmā noteiktos mērķus, ir jāturpina īstenot mērķtiecīgi pasākumi digitālo risinājumu izmantošanas veicināšanai, līdz ar to 4.2.4.3. pasākuma "Digitālo prasmju pilnveide" (turpmāk – 4.2.4.3. pasākums) ietvaros ir plānoti ieguldījumi gan mācību, gan komunikāciju aktivitāšu īstenošanai.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4.2.4.3. pasākuma atbalstāmās darbības ir plānotas atbilstoši Latvijas Nacionālā attīstības plāna 2021. – 2027. gadam (turpmāk - NAP) rīcības virziena "Tehnoloģiskā vide un pakalpojumi" izvirzītajiem mērķiem, veicinot digitālo risinājumu izmantošanu, paaugstinot iedzīvotāju digitālās prasmes.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4.2.4.3. pasākuma ietvaros atbalsts sabiedrības digitālo iespēju izmantošanas veicināšanai plānots divos virzienos: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tiks apmācīti valsts, valstspilsētu un novada pašvaldību (turpmāk - pašvaldības) iestāžu darbinieki (digitālie mentori).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Digitālie mentori ir valsts, pašvaldību un to padotības esošo iestāžu, piemēram, Valsts un pašvaldību vienoto klientu apkalpošanas centru (turpmāk – VPVKAC), Latvijas Nacionālās bibliotēkas, Valsts Zemes dienesta u.c. darbinieki, kas ir apguvuši prasmes izmantot un izmanto valsts un pašvaldību iestāžu digitālos risinājumus dažādu dzīves situāciju risināšanā, kā arī palīdz iedvesmot to izmantošanā citus (savas iestādes kolēģus un klientus), un sniedz atbalstu iedzīvotājiem  digitālo risinājumu izmantošanā;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atbilstoši Digitālās transformācijas pamatnostādnēm 2021. – 2027. gadam tiks īstenotas komunikācijas aktivitātes par digitālajiem risinājumiem iedzīvotājiem, par efektīvu un uzticamu informācijas un komunikācijas tehnoloģiju (turpmāk -IKT) pārvaldību, par digitālās tautsaimniecības transformāciju, par datu pārvaldību un mākslīgo intelektu un par digitālajiem risinājumiem Eiropas līmenī. Plānots īstenot, piemēram, šādas komunikāciju aktivitātes: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 piecas integrētās komunikācijas kampaņas, t.sk. reģionālajos medijos;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 dalība sarunu festivālā LAMPA, Latvijas atvērto tehnoloģiju asociācijas kultūras datu hakatonā, forumā "</w:t>
      </w:r>
      <w:r w:rsidR="00000000" w:rsidRPr="00000000" w:rsidDel="00000000">
        <w:rPr>
          <w:i w:val="1"/>
          <w:rtl w:val="0"/>
        </w:rPr>
        <w:t xml:space="preserve">5G Techritory</w:t>
      </w:r>
      <w:r w:rsidR="00000000" w:rsidRPr="00000000" w:rsidDel="00000000">
        <w:rPr>
          <w:rtl w:val="0"/>
        </w:rPr>
        <w:t xml:space="preserve">", Digitālajā nedēļā u.c.;</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 klātienes un tiešsaistes pasākumi sadarbībā ar valsts un  pašvaldību iestādēm, kā arī nevalstiskajām organizācijām;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 regulāras komunikācijas veikšana sociālajos tīklos, nodrošinot mērķtiecīgu satura izvietošanu, kas ir būtisks elements digitālo prasmju attīstībā.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Plānotie ieguldījumi nodarbināto personu izglītošanā sniegs ieguldījumu NAP noteiktā mērķa "Digitālo risinājumu izmantošanas veicināšana, paaugstinot iedzīvotāju digitālās prasmes" sasniegšanā - tiks nodrošināti par digitālajiem risinājumiem zinoši pašvaldību iestāžu darbinieki (digitālie mentori), kas savukārt veicinās sabiedrības digitālo prasmju un zināšanu attīstību un valsts izstrādāto digitālo risinājumu (e - pakalpojumi, IKT platformas u.c.) izmantošanu. VPVKAC punktos ir pieejami brīvpieejas datori un internets katrā pagasta teritorijā, vienlaikus kvalificēti darbinieki sniegs konsultācijas par digitālo iespēju izmantošanu (kā valsts, tā ikdienas vajadzībām nepieciešamo citu digitālo rīku). Atbilstoši valsts pakalpojumu stratēģijai, VPVKAC punkti kļūs par būtiskāko atbalsta punktu pakalpojumu saņemšanai reģionos (digitālā formā).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4.2.4.3. pasākuma ietvaros plānotie pasākumi veicinās Digitālās transformācijas pamatnostādnēs 2021.–2027. gadam noteiktā rīcības virziena “Sabiedrības digitālo prasmju attīstība no pamatprasmēm līdz augsta līmeņa prasmēm” mērķu sasniegšanu, sniedzot ieguldījumu pamatnostādnēs noteikto minētā rīcības virziena uzdevumu izpildē.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4.2.4.3. pasākumam plānota sinerģija ar šādiem Eiropas Savienības Atveseļošanas un noturības mehānisma plāna (turpmāk – AF plāns) pasākumiem: AF plāna investīciju 2.3.2.1.i. "Digitālās prasmes iedzīvotājiem t.sk. jauniešiem" un AF plāna investīciju 2.3.2.2.i. "Valsts un pašvaldību digitālās transformācijas prasmju un spēju attīstība", AF plāna investīciju 3.1.1.2.i. "Pašvaldību kapacitātes stiprināšana to darbības efektivitātes un kvalitātes uzlabošanai", AF plāna investīciju 2.3.1.4.i. "Individuālo mācību kontu pieejas attīstība", AF plāna investīciju 3.1.2.5.i. "Prasmju pilnveide pieaugušajiem", kā arī ERASMUS+ projektu "Nacionālie koordinatori Eiropas programmas īstenošanai pieaugušo izglītībā".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šo pasākumu ietvaros plānotās darbības ir nepietiekamas, tai skaitā, ņemot vērā, ka to īstenošana ir plānota tikai līdz 2026.gada vidum, kā arī, ņemot vērā mūsdienu straujās digitālās pārmaiņas un aktuālās tendences, apmācību materiāli un apmācības ir nepārtraukti jāatjauno, lai nodrošinātu apmācību aktualitāti un tās atbilstu jaunākajām tendencēm un tehnoloģiskajām izmaiņām.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Pasākumam pieejamais finansējums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Kopējais 4.2.4.3. pasākumam plānotais finansējums ir 4 335 338 </w:t>
      </w:r>
      <w:r w:rsidR="00000000" w:rsidRPr="00000000" w:rsidDel="00000000">
        <w:rPr>
          <w:i w:val="1"/>
          <w:rtl w:val="0"/>
        </w:rPr>
        <w:t xml:space="preserve">euro</w:t>
      </w:r>
      <w:r w:rsidR="00000000" w:rsidRPr="00000000" w:rsidDel="00000000">
        <w:rPr>
          <w:rtl w:val="0"/>
        </w:rPr>
        <w:t xml:space="preserve">, tai skaitā Eiropas Sociālā fonda Plus fonda (turpmāk – ESF+) finansējums – 3 685 037 </w:t>
      </w:r>
      <w:r w:rsidR="00000000" w:rsidRPr="00000000" w:rsidDel="00000000">
        <w:rPr>
          <w:i w:val="1"/>
          <w:rtl w:val="0"/>
        </w:rPr>
        <w:t xml:space="preserve">euro </w:t>
      </w:r>
      <w:r w:rsidR="00000000" w:rsidRPr="00000000" w:rsidDel="00000000">
        <w:rPr>
          <w:rtl w:val="0"/>
        </w:rPr>
        <w:t xml:space="preserve">un nacionālais finansējums (valsts budžeta finansējums) –  650 301 </w:t>
      </w:r>
      <w:r w:rsidR="00000000" w:rsidRPr="00000000" w:rsidDel="00000000">
        <w:rPr>
          <w:i w:val="1"/>
          <w:rtl w:val="0"/>
        </w:rPr>
        <w:t xml:space="preserve">euro</w:t>
      </w:r>
      <w:r w:rsidR="00000000" w:rsidRPr="00000000" w:rsidDel="00000000">
        <w:rPr>
          <w:rtl w:val="0"/>
        </w:rPr>
        <w:t xml:space="preserve">, tai skaitā: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4.2.4.3. pasākuma ietvaros šobrīd pieejamais finansējums: 3 651 330</w:t>
      </w:r>
      <w:r w:rsidR="00000000" w:rsidRPr="00000000" w:rsidDel="00000000">
        <w:rPr>
          <w:i w:val="1"/>
          <w:rtl w:val="0"/>
        </w:rPr>
        <w:t xml:space="preserve"> euro</w:t>
      </w:r>
      <w:r w:rsidR="00000000" w:rsidRPr="00000000" w:rsidDel="00000000">
        <w:rPr>
          <w:rtl w:val="0"/>
        </w:rPr>
        <w:t xml:space="preserve">, tai skaitā ESF+ finansējums – 3 103 630 </w:t>
      </w:r>
      <w:r w:rsidR="00000000" w:rsidRPr="00000000" w:rsidDel="00000000">
        <w:rPr>
          <w:i w:val="1"/>
          <w:rtl w:val="0"/>
        </w:rPr>
        <w:t xml:space="preserve">euro</w:t>
      </w:r>
      <w:r w:rsidR="00000000" w:rsidRPr="00000000" w:rsidDel="00000000">
        <w:rPr>
          <w:rtl w:val="0"/>
        </w:rPr>
        <w:t xml:space="preserve"> apmērā un nacionālais finansējums (valsts budžeta finansējums) – 547 700 </w:t>
      </w:r>
      <w:r w:rsidR="00000000" w:rsidRPr="00000000" w:rsidDel="00000000">
        <w:rPr>
          <w:i w:val="1"/>
          <w:rtl w:val="0"/>
        </w:rPr>
        <w:t xml:space="preserve">euro</w:t>
      </w:r>
      <w:r w:rsidR="00000000" w:rsidRPr="00000000" w:rsidDel="00000000">
        <w:rPr>
          <w:rtl w:val="0"/>
        </w:rPr>
        <w:t xml:space="preserve"> 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elastības finansējums, kas būs pieejams 4.2.4.3. pasākuma īstenošanai no 2026. gada 1. janvāra (pēc Eiropas Komisijas lēmuma par vidusposma pārskatu) – 684 008 </w:t>
      </w:r>
      <w:r w:rsidR="00000000" w:rsidRPr="00000000" w:rsidDel="00000000">
        <w:rPr>
          <w:i w:val="1"/>
          <w:rtl w:val="0"/>
        </w:rPr>
        <w:t xml:space="preserve">euro</w:t>
      </w:r>
      <w:r w:rsidR="00000000" w:rsidRPr="00000000" w:rsidDel="00000000">
        <w:rPr>
          <w:rtl w:val="0"/>
        </w:rPr>
        <w:t xml:space="preserve">, tai skaitā ESF+ finansējums – 581 407 </w:t>
      </w:r>
      <w:r w:rsidR="00000000" w:rsidRPr="00000000" w:rsidDel="00000000">
        <w:rPr>
          <w:i w:val="1"/>
          <w:rtl w:val="0"/>
        </w:rPr>
        <w:t xml:space="preserve">euro</w:t>
      </w:r>
      <w:r w:rsidR="00000000" w:rsidRPr="00000000" w:rsidDel="00000000">
        <w:rPr>
          <w:rtl w:val="0"/>
        </w:rPr>
        <w:t xml:space="preserve"> un nacionālais finansējums (valsts budžeta finansējums) – 102 601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Prasības projekta iesniedzējam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nosaka, ka projekta iesniedzējs, kas pēc projekta iesnieguma apstiprināšanas un civiltiesiskā līguma vai vienošanās par projekta īstenošanu noslēgšanas ir finansējuma saņēmējs, 4.2.4.3. pasākuma ietvaros ir Vides aizsardzības un reģionālās attīstības ministrija.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tiek noteiktas prasības projekta iesniedzējam un sadarbības partnerim, ievērojot, ka noteikumu projekts paredz iespēju par sadarbības partneri piesaistīt tiešās vai pastarpinātās pārvaldes iestādes.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paredz, ka projekta iesniegums tiek sagatavots atbilstoši projektu iesniegumu atlases nolikumā noteiktajām prasībām un iesniegts sadarbības iestādē, izmantojot Kohēzijas politikas fondu vadības informācijas sistēmu.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Sasniedzamie iznākuma un rezultāta rādītāji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Eiropas Savienības kohēzijas politikas programmā 2021.-2027. gadam noteiktais 4.2.4. specifiskā atbalsta mērķa "Veicināt mūžizglītību, jo īpaši piedāvājot elastīgas prasmju pilnveides un pārkvalifikācijas iespējas visiem, ņemot vērā uzņēmējdarbības un digitālās prasmes, labāk prognozējot pārmaiņas un vajadzību pēc jaunām prasmēm, pamatojoties uz darba tirgus vajadzībām, atvieglojot karjeras maiņu un sekmējot profesionālo mobilitāti" kopējais iznākuma rādītājs ir "nodarbinātas personas, tostarp pašnodarbinātas personas", attiecīgi 4.2.4.3. pasākuma ietvaros sasniedzamais iznākuma rādītājs ir "1 867 nodarbinātas personas (personu skaits)". Atbilstoši 4.2.4.3. pasākuma mērķim un plānotajām darbībām ar rādītāju tiek saprasti valsts un pašvaldību darbinieki (digitālie mentori).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4.2.4.3. pasākuma ietvaros ir noteikti šādi nacionālie rezultāta rādītāji: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organizēti vismaz 30 pasākumi informācijas un komunikācijas tehnoloģiju iespēju izmantošanas veicināšanai (semināri, konferences vai citi pasākumi);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mācībās piedalījušās vismaz 1 867 valsts un pašvaldību darbinieki (digitālie mentori);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īstenotas vismaz piecas integrētās komunikāciju kampaņas.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Atbalstāmās darbības un attiecināmās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Visas 4.2.4.3. pasākuma ietvaros plānotās atbalstāmās darbības atbilst Eiropas Savienības kohēzijas politikas programmas 2021.–2027. gadam 4.2. prioritātes "Digitālo prasmju pilnveide" noteiktajiem intervences kodam – 145.</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nosaka atbalstāmās darbības un attiecināmās izmaksas. Projekta ietvaros attiecināmās izmaksas ir pakārtotas atbalstāmajām darbībām.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Tematiski atbalstu paredzēts koncentrēt uz mācību un komunikācijas aktivitāšu īstenošanu.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noteiktas tiešās attiecināmās izmaksas un netiešās attiecināmās izmaksas. Netiešās attiecināmās izmaksas nav tieši saistītas ar projekta rezultātu sasniegšanu, bet atbalsta un nodrošina atbilstošus apstākļus projekta veicamo darbību realizācijai un projekta rezultātu sasniegšanai, piemērojot netiešo izmaksu vienoto likmi 15% apmērā no projekta tiešajām personāla izmaksām. Tās ir finansējuma saņēmēja projekta personāla administratīvās izmaksas, kas paredzētas iestādes ikdienas darbības nodrošināšanai, piemēram, telpu un iekārtu izmantošanas izmaksas, komunālie un sakaru maksājumi, iestādes vadības un atbalsta struktūrvienību izmaksas. Projekta vadības un projekta īstenošanas netiešajās attiecināmajās izmaksās ietilpst: kancelejas preces, biroja piederumi un biroja aprīkojuma īre vai iegāde, telpu noma, komunālie maksājumi un telpu uzturēšanas izmaksas; telekomunikācijas, interneta izmaksas un pasta pakalpojumu izmaksas; informācijas tehnoloģiju uzturēšanas izmaksas (piemēram, nepieciešamās licences un programmatūras atjauninājumi).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ietvaros ir atbalstāmas ārvalstu komandējumu izmaksas finansējuma saņēmēja projekta vadītājam un īstenošanas personālam gan Eiropas Savienības dalībvalstīs, gan ārpus Eiropas Savienības dalībvalstīm atbilstoši normatīvajiem aktiem par kārtību, kādā atlīdzināmi ar komandējumu saistītie izdevumi, ja tās ir pamatotas un saistītas ar projekta īstenošanu.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ietvaros ir attecināmas jaunradītu projekta vadības un īstenošanas personāla darba vietu aprīkojuma, biroja mēbeļu, tehnikas, datorprogrammu un licenču iegādes vai īres izmaksas ne vairāk kā 3 000 </w:t>
      </w:r>
      <w:r w:rsidR="00000000" w:rsidRPr="00000000" w:rsidDel="00000000">
        <w:rPr>
          <w:i w:val="1"/>
          <w:rtl w:val="0"/>
        </w:rPr>
        <w:t xml:space="preserve">euro</w:t>
      </w:r>
      <w:r w:rsidR="00000000" w:rsidRPr="00000000" w:rsidDel="00000000">
        <w:rPr>
          <w:rtl w:val="0"/>
        </w:rPr>
        <w:t xml:space="preserve"> vienai darba vietai visā projekta īstenošanas laikā, vienlaikus vērtējot aprīkojuma iegādes samērīgumu attiecībā uz darbiniekiem, kuriem tiek piemērots daļlaika noslodzes princips.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nosaka, ka attiecināmas ir arī citas ar mācību, semināru, konferenču, integrēto komunikāciju kampaņu, pieredzes apmaiņas un citu prasmju paaugstināšanas un informācijas un komunikācijas tehnoloģiju iespēju izmantošanas veicināšanas pasākumu organizēšanu un īstenošanu saistītās izmaksas, piemēram, pasākumu organizēšanas uzņēmumu piesaistes izmaksas tehnisko pakalpojumu nodrošinājumam, ja nepieciešams.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4.2.4.3. pasākuma ietvaros ir atbalstāmas darbības, kas nodrošina vienlīdzību, iekļaušanu un nediskrimināciju. Paredzēts, ka projektu izstrādes laikā, īstenošanā un vadībā tiks nodrošināta informācijas un vides pieejamības, nediskriminācijas pēc vecuma, dzimuma, etniskās piederības un citām pazīmēm un vienlīdzīgu iespēju principu ievērošana.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Vienkāršotās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Administratīvā sloga mazināšanai projekta vadības personāla izmaksu nodrošināšanai tiek piemērota personāla atlīdzības likme 20% apmērā no noteikumu projekta 20. punktā minētajām pārējām tiešajām attiecināmajām izmaksām, kas nav noteikumu projekta 20.1. apakšpunktā minētās tiešās attiecināmās projekta vadības personāla atlīdzības izmaksas, saskaņā ar Eiropas Parlamenta un Padomes 2021. gada 24. jūnija Regulu (ES) 2021/1060, </w:t>
      </w:r>
      <w:r w:rsidR="00000000" w:rsidRPr="00000000" w:rsidDel="00000000">
        <w:rPr>
          <w:i w:val="1"/>
          <w:rtl w:val="0"/>
        </w:rPr>
        <w:t xml:space="preserve">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000000" w:rsidRPr="00000000" w:rsidDel="00000000">
        <w:rPr>
          <w:rtl w:val="0"/>
        </w:rPr>
        <w:t xml:space="preserve"> (turpmāk – regula 2021/1060) 55. panta 1. 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vadības personāla atlīdzības likmes aprēķins balstīts uz šādiem pamatprincipiem, kas nosaka, ka tas ir: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taisnīgs – personāla atlīdzības izmaksu likmes apmērs tiks piemērots vienoti projekta ietvaros;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objektīvs – personāla atlīdzības izmaksu likmes apmērs ir aprēķināts, balstoties uz vidējo atalgojuma līmeni pa mēnešalgu grupām valsts un pašvaldību institūcijās nodarbinātajiem ierēdņiem un darbiniekiem un attiecīgi VARAM veiktajiem aprēķiniem, ņemot vērā indikatīvi prognozējamās projektu tiešās attiecināmās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pārbaudāms – personāla atlīdzības izmaksu likmes aprēķins ir pamatots ar VARAM veiktajiem aprēķiniem;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iepriekš noteikts – personāla atlīdzības izmaksu likme un piemērošanas nosacījumi ir noteikti šajos MK noteikumos, un piemērojami atbilstoši šajos MK noteikumos noteiktajām prasībām (tikai pēc šo MK noteikumu spēkā stāšanās brīža).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noteikumu projektā noteiktos izmaksu attiecināmības nosacījumus, projekta vadības un īstenošanas personāla atlīdzībai indikatīvi pieejamais ESF+ finansējums ir 755 415 </w:t>
      </w:r>
      <w:r w:rsidR="00000000" w:rsidRPr="00000000" w:rsidDel="00000000">
        <w:rPr>
          <w:i w:val="1"/>
          <w:rtl w:val="0"/>
        </w:rPr>
        <w:t xml:space="preserve">euro</w:t>
      </w:r>
      <w:r w:rsidR="00000000" w:rsidRPr="00000000" w:rsidDel="00000000">
        <w:rPr>
          <w:rtl w:val="0"/>
        </w:rPr>
        <w:t xml:space="preserve">. Kvalitatīvai projekta ieviešanai projekta vadības un īstenošanas nodrošināšanai indikatīvi ir nepieciešamas vismaz 5 slodzes – projekta vadītāja (39.1. amatu saime, IV A līmenis, 11. mēnešalgu grupa), projekta koordinatoru (39.1. saimes III līmenis, 10. mēnešalgu grupa), VARAM Juridiskā departamenta jurista (24. saimes II līmenis, 10. grupa) un finansista (15.1. amatu saime, III līmenis, 10. mēnešalgu grupa) iesaiste, algu likmes nosakot saskaņā ar Valsts un pašvaldību institūciju amatpersonu un darbinieku atlīdzības likumā noteikto mēnešalgu grupu skalas viduspunktu. Ievērojot iepriekš minēto, projektam pieejamā finansējuma ietvaros 5 slodžu nodrošināšanai tā īstenošanas laikā būtu iespējams piesaistīt finansējumu projekta vadības un īstenošanas personālam 4,5 gadus, kas ir projektā paredzēto aktivitāšu īstenošanas intensīvais periods.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20.1. apakšpunktā norādīto personāla izmaksu ietvaros tiks nodrošinātas projekta administratīvās, organizatoriskās un koordinējošās funkcijas (vecākais projekta vadītājs, projekta koordinators, VARAM Juridiskā departamenta jurists, finansists), savukārt noteikumu projekta 20.5.1. un 20.6. apakšpunktā minētais projekta īstenošanas personāls nodrošinās projekta saturisko īstenošanu un minēto speciālistu pienākumi nepārklājas, nodrošinot izmaksu un finansējuma nodalāmību un nepārklāšanos.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Izmaksas ir attiecināmas no brīža, kad tiek noslēgta vienošanās par projekta īstenošanu.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Pievienotās vērtības nodoklis, kas tiešā veidā saistīts ar projektu, uzskatāms par attiecināmām izmaksām saskaņā ar regulas 2021/1060 64. panta 1. punkta "c" apakšpunktā ietvertajiem nosacījumiem. Lai novērstu dubultā finansējuma risku, finansējuma saņēmējs nodrošina finanšu plūsmas (arī pievienotās vērtības nodokļa izmaksu uzskaiti) uzskatāmu nodalīšanu no citām finansējuma saņēmēja darbības finanšu plūsmām projekta īstenošanas laikā.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Projekta īstenošanas nosacījumi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Finansējuma saņēmējs projektu īsteno saskaņā ar noslēgto vienošanos par projekta īstenošanu, bet ne ilgāk kā līdz 2029.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noteikti arī citi projekta īstenošanas, tostarp komunikācijas un vizuālās identitātes pasākumu nodrošināšanas nosacījumi.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Citi nosacījumi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VARAM kā finansējuma saņēmējs nodrošinās dubultā finansējuma novēršanas risku, lai 4.2.4.3. pasākuma ietvaros plānotais atbalsts, t.sk. atbalstāmo darbību saturs, nepārklātos ar citiem valsts un ārvalstu finanšu atbalsta instrumentiem. 4.2.4.3. pasākums tiks īstenots sinerģijā ar AF investīcijām 2.3.2.1.i. "Digitālās prasmes iedzīvotājiem t.sk. jauniešiem", 2.3.2.2.i. "Valsts un pašvaldību digitālās transformācijas prasmju un spēju attīstība", 3.1.1.2.i. "Pašvaldību kapacitātes stiprināšana to darbības efektivitātes un kvalitātes uzlabošanai", 2.3.1.4.i "Individuālo mācību kontu pieejas attīstība", 3.1.2.5.i. "Prasmju pilnveide pieaugušajiem" un ERASMUS+ projektu "Nacionālie koordinatori Eiropas programmas īstenošanai pieaugušo izglītībā", nodrošinot demarkāciju investīciju /projektu līmenī un ievērojot pasākumu atšķirīgo satura fokusu, regulāri apmainoties ar informāciju starp investīciju un projektu īstenošanā iesaistītajiem darbiniekiem par mācību pasākumu saturu, norises laika grafiku un rezultātiem.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Atbalsts nodrošinās savstarpēju papildinātību ar 1.3.1. SAM "Izmantot digitalizācijas priekšrocības iedzīvotājiem, uzņēmumiem, pētniecības organizācijām un publiskajām iestādēm" aktivitātēm to mērķu sekmīgai sasniegšanai.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4.2.4.3. pasākuma ietvaros komercdarbības atbalsts nav paredzēts. Plānotais finansējuma saņēmējs ir VARAM, kas ir tiešās valsts pārvaldes iestāde un kas 4.2.4.3. pasākuma ietvaros neveiks saimniecisko darbību, savukārt par sadarbības partneriem (ja attiecināms) var tikt piesaistītas tiešās vai pastarpinātās pārvaldes iestādes, kas pasākuma ietvaros arī neveiks saimniecisko darbību, līdz ar to 4.2.4.3. pasākums Komercdarbības atbalsta kontroles likuma 5. panta kontekstā nav jāvērtē.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Paredzēts, ka attiecībā uz 4.2.4.3. pasākumu tiks piemērots izņēmums attiecībā uz vienoto kritēriju un vienoto izvēles kritēriju piemērošanu - ierobežotā projektu iesniegumu atlasē tiks piemēroti tikai vienotie kritēriji un vienotie izvēles kritēriji.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neparedz nepieciešamību finansējuma saņēmējam veikt izvērtējumu par izmaksu un ieguvumu analīzi projektam, ņemot vērā, ka izmaksu un ieguvumu analīzes mērķis ir noskaidrot izmaksu ieguvumu efektivitāti, salīdzinot izmaksas ar iegūto rezultātu. Savukārt noteikumu projekta ietvaros īstenotā projekta joma ir digitālo prasmju pilnveide (izglītība), kur plānotais projekta ieguvums nav aprēķināms, līdz ar to noteikumu projektā nav ietverta norma, kas paredz finansējuma saņēmējam veikt izmaksu un ieguvumu analīzi.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izvērtēti alternatīvie risinājumi?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izvērtēts prasību un izmaksu samērīgums pret ieguvumiem?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1.4. Izvērtējumi/pētījumi, kas pamato TA nepieciešamību</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1.5. Pēcpārbaudes (ex-post) izvērtējums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tiks veikts?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1.6. 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2. Tiesību akta projekta ietekmējamās sabiedrības grupas, ietekme uz tautsaimniecības attīstību un administratīvo slogu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2.1. Sabiedrības grupas, kuras tiesiskais regulējums ietekmē, vai varētu ietekmēt</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Fiziskās personas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Sabiedrība kopumā.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paredzēto darbību rezultātā plānots atbalsts digitālo prasmju pilnveidē valsts un pašvaldību iestāžu darbiniekiem (digitālie mentori), kā arī plānots īstenot komunikāciju aktivitātes par digitālajiem risinājumiem iedzīvotājiem, tādejādi paaugstinot informācijas un komunikācijas tehnoloģiju iespēju izmantošanu un mazinot digitālo plaisu sabiedrībā.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Juridiskās personas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VARAM, tiešās vai pastarpinātās pārvaldes iestādes.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Ietekmes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Projektu īstenos VARAM, kā arī projekta ietvaros kā sadarbības partneri var tikt piesaistītas citas tiešās vai pastarpinātās pārvaldes iestādes. Īstenojot projektu, ir jāņem vērā noteikumu projektā noteiktais pieejamais ESF+ finansējums un projektā sasniedzamās rādītāju vērtības.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2.2. Tiesiskā regulējuma ietekme uz tautsaimniecību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2.3. Administratīvo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2.4. Atbilstības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3. Tiesību akta projekta ietekme uz valsts budžetu un pašvaldību budžetiem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lineRule="auto" w:line="240"/>
        <w:pBdr/>
      </w:pPr>
      <w:r w:rsidR="00000000" w:rsidRPr="00000000" w:rsidDel="00000000">
        <w:rPr>
          <w:rtl w:val="0"/>
        </w:rPr>
        <w:t xml:space="preserve"/>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1205"/>
        <w:gridCol w:w="1205"/>
        <w:gridCol w:w="1205"/>
        <w:gridCol w:w="1205"/>
        <w:gridCol w:w="1205"/>
        <w:gridCol w:w="1205"/>
        <w:gridCol w:w="1205"/>
        <w:gridCol w:w="1205"/>
        <w:tblGridChange w:id="0">
          <w:tblGrid>
            <w:gridCol w:w="1205"/>
            <w:gridCol w:w="1205"/>
            <w:gridCol w:w="1205"/>
            <w:gridCol w:w="1205"/>
            <w:gridCol w:w="1205"/>
            <w:gridCol w:w="1205"/>
            <w:gridCol w:w="1205"/>
            <w:gridCol w:w="1205"/>
          </w:tblGrid>
        </w:tblGridChange>
      </w:tblGrid>
      <w:tr>
        <w:tc>
          <w:tcPr>
            <w:shd w:fill="ffffff"/>
            <w:vAlign w:val="bottom"/>
            <w:noWrap w:val="true"/>
            <w:vMerge w:val="restart"/>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Rādītājs</w:t>
            </w:r>
          </w:p>
        </w:tc>
        <w:tc>
          <w:tcPr>
            <w:shd w:fill="ffffff"/>
            <w:vAlign w:val="center"/>
            <w:noWrap w:val="true"/>
            <w:vMerge w:val="restart"/>
            <w:gridSpan w:val="2"/>
            <w:tcMar>
              <w:top w:w="75.0" w:type="dxa"/>
              <w:left w:w="75.0" w:type="dxa"/>
              <w:bottom w:w="75.0" w:type="dxa"/>
              <w:right w:w="75.0" w:type="dxa"/>
            </w:tcMar>
            <w:tcBorders/>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2024</w:t>
            </w:r>
          </w:p>
        </w:tc>
        <w:tc>
          <w:tcPr>
            <w:shd w:fill="ffffff"/>
            <w:vAlign w:val="center"/>
            <w:noWrap w:val="true"/>
            <w:gridSpan w:val="5"/>
            <w:tcMar>
              <w:top w:w="75.0" w:type="dxa"/>
              <w:left w:w="75.0" w:type="dxa"/>
              <w:bottom w:w="75.0" w:type="dxa"/>
              <w:right w:w="75.0" w:type="dxa"/>
            </w:tcMar>
            <w:tcBorders/>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Turpmākie trīs gadi (</w:t>
            </w:r>
            <w:r w:rsidR="00000000" w:rsidRPr="00000000" w:rsidDel="00000000">
              <w:rPr>
                <w:sz w:val="24"/>
                <w:b w:val="1"/>
                <w:i w:val="1"/>
                <w:rtl w:val="0"/>
              </w:rPr>
              <w:t xml:space="preserve">euro</w:t>
            </w:r>
            <w:r w:rsidR="00000000" w:rsidRPr="00000000" w:rsidDel="00000000">
              <w:rPr>
                <w:sz w:val="24"/>
                <w:b w:val="1"/>
                <w:rtl w:val="0"/>
              </w:rPr>
              <w:t xml:space="preserve">)</w:t>
            </w:r>
          </w:p>
        </w:tc>
      </w:tr>
      <w:tr>
        <w:tc>
          <w:tcPr>
            <w:shd w:fill="ffffff"/>
            <w:vAlign w:val="center"/>
            <w:noWrap w:val="true"/>
            <w:vMerge w:val="contin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vMerge w:val="continue"/>
            <w:gridSpan w:val="2"/>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gridSpan w:val="2"/>
            <w:tcMar>
              <w:top w:w="75.0" w:type="dxa"/>
              <w:left w:w="75.0" w:type="dxa"/>
              <w:bottom w:w="75.0" w:type="dxa"/>
              <w:right w:w="75.0" w:type="dxa"/>
            </w:tcMar>
            <w:tcBorders/>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2025</w:t>
            </w:r>
          </w:p>
        </w:tc>
        <w:tc>
          <w:tcPr>
            <w:shd w:fill="ffffff"/>
            <w:vAlign w:val="center"/>
            <w:noWrap w:val="true"/>
            <w:gridSpan w:val="2"/>
            <w:tcMar>
              <w:top w:w="75.0" w:type="dxa"/>
              <w:left w:w="75.0" w:type="dxa"/>
              <w:bottom w:w="75.0" w:type="dxa"/>
              <w:right w:w="75.0" w:type="dxa"/>
            </w:tcMar>
            <w:tcBorders/>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2026</w:t>
            </w:r>
          </w:p>
        </w:tc>
        <w:tc>
          <w:tcPr>
            <w:shd w:fill="ffffff"/>
            <w:vAlign w:val="center"/>
            <w:noWrap w:val="true"/>
            <w:gridSpan w:val="1"/>
            <w:tcMar>
              <w:top w:w="75.0" w:type="dxa"/>
              <w:left w:w="75.0" w:type="dxa"/>
              <w:bottom w:w="75.0" w:type="dxa"/>
              <w:right w:w="75.0" w:type="dxa"/>
            </w:tcMar>
            <w:tcBorders/>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b w:val="1"/>
                <w:rtl w:val="0"/>
              </w:rPr>
              <w:t xml:space="preserve">2027</w:t>
            </w:r>
          </w:p>
        </w:tc>
      </w:tr>
      <w:tr>
        <w:tc>
          <w:tcPr>
            <w:shd w:fill="ffffff"/>
            <w:vAlign w:val="center"/>
            <w:noWrap w:val="true"/>
            <w:vMerge w:val="contin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valsts budžetu kārtējam gadam</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kārtējā gadā, salīdzinot ar valsts budžetu kārtējam gadam</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vidēja termiņa budžeta ietvaru</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saskaņā ar vidēja termiņa budžeta ietvaru</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izmaiņas, salīdzinot ar vidēja termiņa budžeta ietvaru</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b w:val="1"/>
                <w:rtl w:val="0"/>
              </w:rPr>
              <w:t xml:space="preserve">1</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2</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3</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4</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5</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6</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7</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b w:val="1"/>
                <w:rtl w:val="0"/>
              </w:rPr>
              <w:t xml:space="preserve">8</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 Budžeta ieņēmumi</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36 851</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331 653</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626 456</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1.1. valsts pamatbudžets, tai skaitā ieņēmumi no maksas pakalpojumiem un citi pašu ieņēmumi</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36 851</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331 653</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626 456</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1.2. valsts speciālais budžets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1.3. pašvaldību budžets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 Budžeta izdevumi</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43 353</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390 180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737 008</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2.1. valsts pamatbudžets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43 353</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390 180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737 008</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2.2. valsts speciālais budžets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2.3. pašvaldību budžets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 Finansiālā ietekme</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-6 502</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-58 527</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-110 552</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3.1. valsts pamatbudžets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-6 502</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-58 527</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-110 552</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3.2. speciālais budžets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3.3. pašvaldību budžets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4. Finanšu līdzekļi papildu izdevumu finansēšanai (kompensējošu izdevumu palielinājumu norāda ar "-" zīmi)</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 Precizēta finansiālā ietekme</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-6 502</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-58 527</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-110 552</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5.1. valsts pamatbudžets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-6 502</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-58 527</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-110 552</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5.2. speciālais budžets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5.3. pašvaldību budžets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sz w:val="24"/>
                <w:rtl w:val="0"/>
              </w:rPr>
              <w:t xml:space="preserve">0</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 Detalizēts ieņēmumu un izdevumu aprēķins (ja nepieciešams, detalizētu ieņēmumu un izdevumu aprēķinu var pievienot anotācijas (ex-ante) pielikumā)</w:t>
            </w:r>
          </w:p>
        </w:tc>
        <w:tc>
          <w:tcPr>
            <w:shd w:fill="ffffff"/>
            <w:vAlign w:val="center"/>
            <w:noWrap w:val="true"/>
            <w:gridSpan w:val="7"/>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4.2.4.3. pasākumam plānotais kopējais attiecināmais finansējums ir 4 335 338 </w:t>
            </w:r>
            <w:r w:rsidR="00000000" w:rsidRPr="00000000" w:rsidDel="00000000">
              <w:rPr>
                <w:sz w:val="24"/>
                <w:i w:val="1"/>
                <w:rtl w:val="0"/>
              </w:rPr>
              <w:t xml:space="preserve">euro</w:t>
            </w:r>
            <w:r w:rsidR="00000000" w:rsidRPr="00000000" w:rsidDel="00000000">
              <w:rPr>
                <w:sz w:val="24"/>
                <w:rtl w:val="0"/>
              </w:rPr>
              <w:t xml:space="preserve">, tai skaitā ESF+ finansējums 3 685 037 </w:t>
            </w:r>
            <w:r w:rsidR="00000000" w:rsidRPr="00000000" w:rsidDel="00000000">
              <w:rPr>
                <w:sz w:val="24"/>
                <w:i w:val="1"/>
                <w:rtl w:val="0"/>
              </w:rPr>
              <w:t xml:space="preserve">euro</w:t>
            </w:r>
            <w:r w:rsidR="00000000" w:rsidRPr="00000000" w:rsidDel="00000000">
              <w:rPr>
                <w:sz w:val="24"/>
                <w:rtl w:val="0"/>
              </w:rPr>
              <w:t xml:space="preserve"> un valsts budžeta finansējums 650 301 </w:t>
            </w:r>
            <w:r w:rsidR="00000000" w:rsidRPr="00000000" w:rsidDel="00000000">
              <w:rPr>
                <w:sz w:val="24"/>
                <w:i w:val="1"/>
                <w:rtl w:val="0"/>
              </w:rPr>
              <w:t xml:space="preserve">euro</w:t>
            </w:r>
            <w:r w:rsidR="00000000" w:rsidRPr="00000000" w:rsidDel="00000000">
              <w:rPr>
                <w:sz w:val="24"/>
                <w:rtl w:val="0"/>
              </w:rPr>
              <w:t xml:space="preserve">. Budžeta ieņēmumi ir ESF+ finansējuma daļa 85 % apmērā no projekta attiecināmām izmaksām. Budžeta izdevumi ir kopējie projekta ieviešanai nepieciešamie publiskā finansējuma (ESF+ un valsts budžeta) līdzekļi 100 % apmērā no projekta attiecināmām izmaksām.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Noteikumu projektam 2024. gadā nav ietekmes uz valsts budžetu.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VARAM plānotās attiecīgās izdevumu proporcijas dalījumā pa gadiem indikatīvi ir šādas: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2025. gads: 1 % no 4 335 338 </w:t>
            </w:r>
            <w:r w:rsidR="00000000" w:rsidRPr="00000000" w:rsidDel="00000000">
              <w:rPr>
                <w:sz w:val="24"/>
                <w:i w:val="1"/>
                <w:rtl w:val="0"/>
              </w:rPr>
              <w:t xml:space="preserve">euro</w:t>
            </w:r>
            <w:r w:rsidR="00000000" w:rsidRPr="00000000" w:rsidDel="00000000">
              <w:rPr>
                <w:sz w:val="24"/>
                <w:rtl w:val="0"/>
              </w:rPr>
              <w:t xml:space="preserve"> jeb 43 353 </w:t>
            </w:r>
            <w:r w:rsidR="00000000" w:rsidRPr="00000000" w:rsidDel="00000000">
              <w:rPr>
                <w:sz w:val="24"/>
                <w:i w:val="1"/>
                <w:rtl w:val="0"/>
              </w:rPr>
              <w:t xml:space="preserve">euro</w:t>
            </w:r>
            <w:r w:rsidR="00000000" w:rsidRPr="00000000" w:rsidDel="00000000">
              <w:rPr>
                <w:sz w:val="24"/>
                <w:rtl w:val="0"/>
              </w:rPr>
              <w:t xml:space="preserve">, tai skaitā ESF+ finansējums – 36 851 </w:t>
            </w:r>
            <w:r w:rsidR="00000000" w:rsidRPr="00000000" w:rsidDel="00000000">
              <w:rPr>
                <w:sz w:val="24"/>
                <w:i w:val="1"/>
                <w:rtl w:val="0"/>
              </w:rPr>
              <w:t xml:space="preserve">euro</w:t>
            </w:r>
            <w:r w:rsidR="00000000" w:rsidRPr="00000000" w:rsidDel="00000000">
              <w:rPr>
                <w:sz w:val="24"/>
                <w:rtl w:val="0"/>
              </w:rPr>
              <w:t xml:space="preserve">, valsts budžeta līdzfinansējums – 6 502 </w:t>
            </w:r>
            <w:r w:rsidR="00000000" w:rsidRPr="00000000" w:rsidDel="00000000">
              <w:rPr>
                <w:sz w:val="24"/>
                <w:i w:val="1"/>
                <w:rtl w:val="0"/>
              </w:rPr>
              <w:t xml:space="preserve">euro</w:t>
            </w:r>
            <w:r w:rsidR="00000000" w:rsidRPr="00000000" w:rsidDel="00000000">
              <w:rPr>
                <w:sz w:val="24"/>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2026. gads: 9% no 4 335 338 </w:t>
            </w:r>
            <w:r w:rsidR="00000000" w:rsidRPr="00000000" w:rsidDel="00000000">
              <w:rPr>
                <w:sz w:val="24"/>
                <w:i w:val="1"/>
                <w:rtl w:val="0"/>
              </w:rPr>
              <w:t xml:space="preserve">euro</w:t>
            </w:r>
            <w:r w:rsidR="00000000" w:rsidRPr="00000000" w:rsidDel="00000000">
              <w:rPr>
                <w:sz w:val="24"/>
                <w:rtl w:val="0"/>
              </w:rPr>
              <w:t xml:space="preserve"> jeb 390 180 </w:t>
            </w:r>
            <w:r w:rsidR="00000000" w:rsidRPr="00000000" w:rsidDel="00000000">
              <w:rPr>
                <w:sz w:val="24"/>
                <w:i w:val="1"/>
                <w:rtl w:val="0"/>
              </w:rPr>
              <w:t xml:space="preserve">euro</w:t>
            </w:r>
            <w:r w:rsidR="00000000" w:rsidRPr="00000000" w:rsidDel="00000000">
              <w:rPr>
                <w:sz w:val="24"/>
                <w:rtl w:val="0"/>
              </w:rPr>
              <w:t xml:space="preserve">, tai skaitā ESF+  finansējums – 331 653 </w:t>
            </w:r>
            <w:r w:rsidR="00000000" w:rsidRPr="00000000" w:rsidDel="00000000">
              <w:rPr>
                <w:sz w:val="24"/>
                <w:i w:val="1"/>
                <w:rtl w:val="0"/>
              </w:rPr>
              <w:t xml:space="preserve">euro</w:t>
            </w:r>
            <w:r w:rsidR="00000000" w:rsidRPr="00000000" w:rsidDel="00000000">
              <w:rPr>
                <w:sz w:val="24"/>
                <w:rtl w:val="0"/>
              </w:rPr>
              <w:t xml:space="preserve">, valsts budžeta līdzfinansējums – 58 527 </w:t>
            </w:r>
            <w:r w:rsidR="00000000" w:rsidRPr="00000000" w:rsidDel="00000000">
              <w:rPr>
                <w:sz w:val="24"/>
                <w:i w:val="1"/>
                <w:rtl w:val="0"/>
              </w:rPr>
              <w:t xml:space="preserve">euro</w:t>
            </w:r>
            <w:r w:rsidR="00000000" w:rsidRPr="00000000" w:rsidDel="00000000">
              <w:rPr>
                <w:sz w:val="24"/>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2027. gads: 17% no 4 335 338 </w:t>
            </w:r>
            <w:r w:rsidR="00000000" w:rsidRPr="00000000" w:rsidDel="00000000">
              <w:rPr>
                <w:sz w:val="24"/>
                <w:i w:val="1"/>
                <w:rtl w:val="0"/>
              </w:rPr>
              <w:t xml:space="preserve">euro</w:t>
            </w:r>
            <w:r w:rsidR="00000000" w:rsidRPr="00000000" w:rsidDel="00000000">
              <w:rPr>
                <w:sz w:val="24"/>
                <w:rtl w:val="0"/>
              </w:rPr>
              <w:t xml:space="preserve"> jeb 737 008 </w:t>
            </w:r>
            <w:r w:rsidR="00000000" w:rsidRPr="00000000" w:rsidDel="00000000">
              <w:rPr>
                <w:sz w:val="24"/>
                <w:i w:val="1"/>
                <w:rtl w:val="0"/>
              </w:rPr>
              <w:t xml:space="preserve">euro</w:t>
            </w:r>
            <w:r w:rsidR="00000000" w:rsidRPr="00000000" w:rsidDel="00000000">
              <w:rPr>
                <w:sz w:val="24"/>
                <w:rtl w:val="0"/>
              </w:rPr>
              <w:t xml:space="preserve">, tai skaitā ESF+  finansējums – 626 456 </w:t>
            </w:r>
            <w:r w:rsidR="00000000" w:rsidRPr="00000000" w:rsidDel="00000000">
              <w:rPr>
                <w:sz w:val="24"/>
                <w:i w:val="1"/>
                <w:rtl w:val="0"/>
              </w:rPr>
              <w:t xml:space="preserve">euro</w:t>
            </w:r>
            <w:r w:rsidR="00000000" w:rsidRPr="00000000" w:rsidDel="00000000">
              <w:rPr>
                <w:sz w:val="24"/>
                <w:rtl w:val="0"/>
              </w:rPr>
              <w:t xml:space="preserve">, valsts budžeta līdzfinansējums – 110 552 </w:t>
            </w:r>
            <w:r w:rsidR="00000000" w:rsidRPr="00000000" w:rsidDel="00000000">
              <w:rPr>
                <w:sz w:val="24"/>
                <w:i w:val="1"/>
                <w:rtl w:val="0"/>
              </w:rPr>
              <w:t xml:space="preserve">euro</w:t>
            </w:r>
            <w:r w:rsidR="00000000" w:rsidRPr="00000000" w:rsidDel="00000000">
              <w:rPr>
                <w:sz w:val="24"/>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2028.-2029. gads: 73 % no  4 335 338 </w:t>
            </w:r>
            <w:r w:rsidR="00000000" w:rsidRPr="00000000" w:rsidDel="00000000">
              <w:rPr>
                <w:sz w:val="24"/>
                <w:i w:val="1"/>
                <w:rtl w:val="0"/>
              </w:rPr>
              <w:t xml:space="preserve">euro</w:t>
            </w:r>
            <w:r w:rsidR="00000000" w:rsidRPr="00000000" w:rsidDel="00000000">
              <w:rPr>
                <w:sz w:val="24"/>
                <w:rtl w:val="0"/>
              </w:rPr>
              <w:t xml:space="preserve"> jeb 3 164 797 </w:t>
            </w:r>
            <w:r w:rsidR="00000000" w:rsidRPr="00000000" w:rsidDel="00000000">
              <w:rPr>
                <w:sz w:val="24"/>
                <w:i w:val="1"/>
                <w:rtl w:val="0"/>
              </w:rPr>
              <w:t xml:space="preserve">euro</w:t>
            </w:r>
            <w:r w:rsidR="00000000" w:rsidRPr="00000000" w:rsidDel="00000000">
              <w:rPr>
                <w:sz w:val="24"/>
                <w:rtl w:val="0"/>
              </w:rPr>
              <w:t xml:space="preserve">, tai skaitā ESF+  finansējums – 2 690 077 </w:t>
            </w:r>
            <w:r w:rsidR="00000000" w:rsidRPr="00000000" w:rsidDel="00000000">
              <w:rPr>
                <w:sz w:val="24"/>
                <w:i w:val="1"/>
                <w:rtl w:val="0"/>
              </w:rPr>
              <w:t xml:space="preserve">euro</w:t>
            </w:r>
            <w:r w:rsidR="00000000" w:rsidRPr="00000000" w:rsidDel="00000000">
              <w:rPr>
                <w:sz w:val="24"/>
                <w:rtl w:val="0"/>
              </w:rPr>
              <w:t xml:space="preserve">, valsts budžeta līdzfinansējums – 474 720 </w:t>
            </w:r>
            <w:r w:rsidR="00000000" w:rsidRPr="00000000" w:rsidDel="00000000">
              <w:rPr>
                <w:sz w:val="24"/>
                <w:i w:val="1"/>
                <w:rtl w:val="0"/>
              </w:rPr>
              <w:t xml:space="preserve">euro</w:t>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6.1. detalizēts ieņēmumu aprēķins</w:t>
            </w:r>
          </w:p>
        </w:tc>
        <w:tc>
          <w:tcPr>
            <w:shd w:fill="ffffff"/>
            <w:vAlign w:val="center"/>
            <w:noWrap w:val="true"/>
            <w:gridSpan w:val="7"/>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6.2. detalizēts izdevumu aprēķins</w:t>
            </w:r>
          </w:p>
        </w:tc>
        <w:tc>
          <w:tcPr>
            <w:shd w:fill="ffffff"/>
            <w:vAlign w:val="center"/>
            <w:noWrap w:val="true"/>
            <w:gridSpan w:val="7"/>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rPr>
                <w:sz w:val="24"/>
                <w:rtl w:val="0"/>
              </w:rPr>
            </w:pPr>
            <w:r w:rsidR="00000000" w:rsidRPr="00000000" w:rsidDel="00000000">
              <w:rPr>
                <w:sz w:val="24"/>
                <w:rtl w:val="0"/>
              </w:rPr>
              <w:t xml:space="preserve">7. Amata vietu skaita izmaiņas (palielinājuma gadījumā: izvērsts pamatojums, izvērtējums par esošo resursu pārskatīšanas iespējām, t.sk. vakanto štata vietu, ilgstošo vakanču izmantošanu u.c.)</w:t>
            </w:r>
          </w:p>
        </w:tc>
        <w:tc>
          <w:tcPr>
            <w:shd w:fill="ffffff"/>
            <w:vAlign w:val="center"/>
            <w:noWrap w:val="true"/>
            <w:gridSpan w:val="7"/>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MK noteikumu projekts var ietekmēt amata vietu skaitu, t.i., plānojot projekta īstenošanu, tiks izvērtēta esošo cilvēkresursu kapacitāte, nepieciešamības gadījumā piesaistot personālu uz darba līguma pamata vai nodrošinot projekta pasākumu īstenošanu ārpakalpojuma ietvaros. Projekta vadības un īstenošanas personāls tiks finansēts no projektu līdzekļiem.</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Finansējums projekta īstenošanai attiecībā uz ESF+ līdzfinansējuma nodrošināšanu tiks pieprasīts no valsts budžeta programmas 80.00.00 "Nesadalītais finansējums Eiropas Savienības politiku instrumentu un pārējās ārvalstu finanšu palīdzības līdzfinansēto projektu un pasākumu īstenošanai".</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4. Tiesību akta projekta ietekme uz spēkā esošo tiesību normu sistēmu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4.2. 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5. Tiesību akta projekta atbilstība Latvijas Republikas starptautiskajām saistībām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5.1. Saistības pret Eiropas Savienību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CELEX numurs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32021R1060</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datums, izdevējinstitūcija, numurs, veids un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CELEX numurs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32018R1046</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ES tiesību akta datums, izdevējinstitūcija, numurs, veids un nosaukums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5.2. Citas starptautiskās saistības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ir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5.3.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5.4. 1. tabula. Tiesību akta projekta atbilstība ES tiesību aktiem</w:t>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2410"/>
        <w:gridCol w:w="2410"/>
        <w:gridCol w:w="2410"/>
        <w:gridCol w:w="2410"/>
        <w:tblGridChange w:id="0">
          <w:tblGrid>
            <w:gridCol w:w="2410"/>
            <w:gridCol w:w="2410"/>
            <w:gridCol w:w="2410"/>
            <w:gridCol w:w="2410"/>
          </w:tblGrid>
        </w:tblGridChange>
      </w:tblGrid>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Attiecīgā ES tiesību akta datums, izdevējinstitūcija, numurs, veids un nosaukums</w:t>
            </w:r>
          </w:p>
        </w:tc>
        <w:tc>
          <w:tcPr>
            <w:shd w:fill="ffffff"/>
            <w:vAlign w:val="center"/>
            <w:noWrap w:val="true"/>
            <w:gridSpan w:val="3"/>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ES TA panta numurs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Projekta vienība, kas pārņem vai ievieš A minēto</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Tiek pārņemts pilnībā vai daļēji</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Vai B minētais paredz stingrākas prasības un pamatojums</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A</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B</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C</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D</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47. pants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MK noteikumu 25.3. apakšpunkts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Pārņemtas pilnībā</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Neparedz stingrākas prasības</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50. pants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MK noteikumu 25.3. apakšpunkts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Pārņemtas pilnībā</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Neparedz stingrākas prasības</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55. panta 1. punkts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MK noteikumu 20.1. apakšpunkts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Pārņemtas pilnībā</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Neparedz stingrākas prasības</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64. panta 1. punkta "c" apakšpunkts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MK noteikumu 22. punkts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Pārņemtas pilnībā</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Neparedz stingrākas prasības</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Kā ir izmantota ES tiesību aktā paredzētā rīcības brīvība dalībvalstij pārņemt vai ieviest noteiktas ES tiesību akta normas? Kādēļ?</w:t>
            </w:r>
          </w:p>
        </w:tc>
        <w:tc>
          <w:tcPr>
            <w:shd w:fill="ffffff"/>
            <w:vAlign w:val="center"/>
            <w:noWrap w:val="true"/>
            <w:gridSpan w:val="3"/>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Noteikumu projekts šo jomu neskar.</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shd w:fill="ffffff"/>
            <w:vAlign w:val="center"/>
            <w:noWrap w:val="true"/>
            <w:gridSpan w:val="3"/>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Noteikumu projekts šo jomu neskar.</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Cita informācija</w:t>
            </w:r>
          </w:p>
        </w:tc>
        <w:tc>
          <w:tcPr>
            <w:shd w:fill="ffffff"/>
            <w:vAlign w:val="center"/>
            <w:noWrap w:val="true"/>
            <w:gridSpan w:val="3"/>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Nav.</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Attiecīgā ES tiesību akta datums, izdevējinstitūcija, numurs, veids un nosaukums</w:t>
            </w:r>
          </w:p>
        </w:tc>
        <w:tc>
          <w:tcPr>
            <w:shd w:fill="ffffff"/>
            <w:vAlign w:val="center"/>
            <w:noWrap w:val="true"/>
            <w:gridSpan w:val="3"/>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ES TA panta numurs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Projekta vienība, kas pārņem vai ievieš A minēto</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Tiek pārņemts pilnībā vai daļēji</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Vai B minētais paredz stingrākas prasības un pamatojums</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A</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B</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C</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D</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61. pants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MK noteikumu 25.4. apakšpunkts</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Pārņemtas pilnībā</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Neparedz stingrākas prasības</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Kā ir izmantota ES tiesību aktā paredzētā rīcības brīvība dalībvalstij pārņemt vai ieviest noteiktas ES tiesību akta normas? Kādēļ?</w:t>
            </w:r>
          </w:p>
        </w:tc>
        <w:tc>
          <w:tcPr>
            <w:shd w:fill="ffffff"/>
            <w:vAlign w:val="center"/>
            <w:noWrap w:val="true"/>
            <w:gridSpan w:val="3"/>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Noteikumu projekts šo jomu neskar.</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shd w:fill="ffffff"/>
            <w:vAlign w:val="center"/>
            <w:noWrap w:val="true"/>
            <w:gridSpan w:val="3"/>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Noteikumu projekts šo jomu neskar.</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Cita informācija</w:t>
            </w:r>
          </w:p>
        </w:tc>
        <w:tc>
          <w:tcPr>
            <w:shd w:fill="ffffff"/>
            <w:vAlign w:val="center"/>
            <w:noWrap w:val="true"/>
            <w:gridSpan w:val="3"/>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Nav.</w:t>
            </w:r>
          </w:p>
        </w:tc>
      </w:tr>
    </w:tbl>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6. Projekta izstrādē iesaistītās institūcijas un sabiedrības līdzdalības process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Sabiedrības līdzdalība uz šo tiesību akta projektu neattiecas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6.1. Projekta izstrādē iesaistītās institūcijas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Valsts un pašvaldību institūcijas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Vides aizsardzības un reģionālās attīstības ministrija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Nevalstiskās organizācijas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6.2. Sabiedrības līdzdalības organizēšanas veidi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Veids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Publiskā apspriešana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Saite uz sabiedrības līdzdalības rezultātiem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Sadaļa tiks aizpildīta pēc publiskās apspriešanas pabeigšanas.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6.3. Sabiedrības līdzdalības rezultāti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Sabiedrības līdzdalība noteikumu projekta izstrādē nodrošināta, publicējot noteikumu projektu Vienotajā tiesību aktu projektu izstrādes un saskaņošanas portālā, nodrošinot iespēju sabiedrībai sniegt par to viedokli. Sabiedrības pārstāvji var līdzdarboties noteikumu projekta izstrādē, sniedzot atzinumu un viedokli par noteikumu projektu.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līdz sabiedrības līdzdalības procesa beigām tiks saņemti sabiedrības pārstāvju komentāri, iebildumi un priekšlikumi, tad attiecīgi tie tiks vērtēti noteikumu projekta saskaņošanas procesā, un attiecīgi tiks precizēts noteikumu projekts un anotācija pirms noteikumu projekta iesniegšanas izskatīšanai MK sēdē.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6.4.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7. Tiesību akta projekta izpildes nodrošināšana un tās ietekme uz institūcijām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7.1. Projekta izpildē iesaistītās institūcijas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Institūcijas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Vides aizsardzības un reģionālās attīstības ministrija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Centrālā finanšu un līgumu aģentūra</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7.2. Administratīvo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7.3. Atbilstības izmaksu monetārs novērtējums</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7.4. Projekta izpildes ietekme uz pārvaldes funkcijām un institucionālo struktūru</w:t>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4371"/>
        <w:gridCol w:w="900"/>
        <w:gridCol w:w="4371"/>
        <w:tblGridChange w:id="0">
          <w:tblGrid>
            <w:gridCol w:w="4371"/>
            <w:gridCol w:w="900"/>
            <w:gridCol w:w="4371"/>
          </w:tblGrid>
        </w:tblGridChange>
      </w:tblGrid>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Ietekme</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Jā/Nē</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b w:val="1"/>
                <w:rtl w:val="0"/>
              </w:rPr>
              <w:t xml:space="preserve">Skaidrojums</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1. Tiks veidota jauna institūcija</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2. Tiks likvidēta institūcija</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3. Tiks veikta esošās institūcijas reorganizācija</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4. Institūcijas funkcijas un uzdevumi tiks mainīti (paplašināti vai sašaurināti)</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5. Tiks veikta iekšējo institūcijas procesu efektivizācija</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6. Tiks veikta iekšējo institūcijas procesu digitalizācija</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7. Tiks veikta iekšējo institūcijas procesu optimizācija</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r>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8. Cita informācija</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sz w:val="24"/>
                <w:rtl w:val="0"/>
              </w:rPr>
              <w:t xml:space="preserve">Nē</w:t>
            </w:r>
          </w:p>
        </w:tc>
        <w:tc>
          <w:tcPr>
            <w:shd w:fill="ffffff"/>
            <w:vAlign w:val="center"/>
            <w:noWrap w:val="true"/>
            <w:tcMar>
              <w:top w:w="75.0" w:type="dxa"/>
              <w:left w:w="75.0" w:type="dxa"/>
              <w:bottom w:w="75.0" w:type="dxa"/>
              <w:right w:w="75.0" w:type="dxa"/>
            </w:tcMar>
            <w:tcBorders/>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sz w:val="24"/>
                <w:rtl w:val="0"/>
              </w:rPr>
              <w:t xml:space="preserve">-</w:t>
            </w:r>
          </w:p>
        </w:tc>
      </w:tr>
    </w:tbl>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7.5.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p w:rsidP="00000000" w:rsidRDefault="00000000" w:rsidR="00000000" w:rsidRPr="00000000" w:rsidDel="00000000">
      <w:pPr>
        <w:contextualSpacing w:val="0"/>
        <w:spacing w:before="180" w:beforeAutospacing="0"/>
        <w:spacing w:lineRule="auto" w:line="240"/>
        <w:pBdr/>
      </w:pPr>
      <w:r w:rsidR="00000000" w:rsidRPr="00000000" w:rsidDel="00000000">
        <w:rPr>
          <w:rtl w:val="0"/>
        </w:rPr>
        <w:t xml:space="preserve"/>
      </w:r>
      <w:r w:rsidR="00000000" w:rsidRPr="00000000" w:rsidDel="00000000">
        <w:rPr>
          <w:sz w:val="32"/>
          <w:b w:val="1"/>
          <w:rtl w:val="0"/>
        </w:rPr>
        <w:t xml:space="preserve">8. Horizontālās ietekmes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 Projekta tiesiskā regulējuma ietekme</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 uz publisku pakalpojumu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8.1.2. uz valsts un pašvaldību informācijas un komunikācijas tehnoloģiju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8.1.3. uz informācijas sabiedrības politikas īstenošanu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paredz sniegt ieguldījumu sabiedrības digitālo iespēju izmantošanas veicināšanā saskaņā ar Digitālās transformācijas pamatnostādnēm 2021.–2027.gadam.</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8.1.4. uz Nacionālā attīstības plāna rādītājiem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Plānotie ieguldījumi nodarbināto personu izglītošanā sniegs ieguldījumu NAP noteiktā mērķa “Digitālo risinājumu izmantošanas veicināšana, paaugstinot iedzīvotāju digitālās prasmes” sasniegšanā.</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8.1.5. uz teritoriju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8.1.6. uz vidi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8.1.7. uz klimatneitralitāti</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Finansējuma saņēmējiem jānodrošina, ka projektā, kur attiecināms, tiek ievērotas zaļā publiskā iepirkuma prasības.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8.1.8. uz iedzīvotāju sociālo situāciju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8.1.9. uz personu ar invaliditāti vienlīdzīgām iespējām un tiesībām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ietvaros tiks nodrošinātas vispārīgas horizontālā principa (turpmāk - HP) darbības, kas veicina personu ar invaliditāti vienlīdzīgas iespējas un tiesības, piemēram: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īstenojot projekta komunikācijas aktivitātes, tiks izvēlēta valoda un vizuālie tēli, kas mazina diskrimināciju un stereotipu veidošanos par kādu no dzimumiem, personām ar invaliditāti, reliģisko pārliecību, vecumu, rasi un etnisko izcelsmi vai seksuālo orientāciju;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tiks nodrošināts, ka informācija publiskajā telpā, t.sk. tīmeklī, ir piekļūstama cilvēkiem ar funkcionāliem traucējumiem, izmantojot vairākus sensoros (redze, dzirde, tauste) kanālus;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tiks nodrošināts, ka prasībās pakalpojuma sniedzējam (iepirkuma nolikumos) tiek izvirzīta prasība nodrošināt, ka konkrētajai pakalpojuma sniegšanas vietai/videi/objektam/pasākuma norises vietai ir iespēja fiziski piekļūt un to var izmantot personas ar dažādiem funkcionāliem traucējumiem patstāvīgi.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Tiks īstenotas arī specifiskas HP darbības, piemēram: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pilnveidojot digitālās prasmes, cita starpā, tiks pievērsta īpaša uzmanība tam, lai potenciāli radītie gala produkti, pakalpojumi un rezultāti būtu pieejami visiem, t.sk., personām ar funkcionāliem traucējumiem;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lai nodrošinātu pasākumu norises vietas un vides piekļūstamību, tiks nodrošināta tehnisko risinājumu - pandusu noma, indukcijas cilpu noma; nodrošināti zīmju valodas tulku, subtitrēšanas un reāllaika transkripcijas pakalpojumi, kas ir Noteikumu projekta ietvaros attiecināmas izmaksas, ja tās nepieciešamas vides un informācijas pieejamības nodrošināšanai;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pilnveidojot digitālās prasmes, tiks iesaistīti nevalstiskā sektora eksperti konsultāciju sniegšanai, izvērtējot pasākumu saturu no vienlīdzīgu iespēju un nediskriminācijas aspekta (attiecīgi pievienojot dokumentus, piem. konsultāciju protokolus, pakalpojuma līgumus u.c.).</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8.1.10. uz dzimumu līdztiesību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ietvaros ir jāsniedz informācija par šī horizontālā principa ievērošanu, paredzot specifiskas darbības, kas veicina vienlīdzību, iekļaušanu, nediskrimināciju un pamattiesību ievērošanu (piemēram, nodrošinot dzimumu līdztiesības aspekta integrēšanu caur semināru, konferenču vai citu pasākumu saturu).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vadībā un īstenošanā tiks virzīti pasākumi, kas sekmē darba un ģimenes dzīves līdzsvaru - paredzot elastīga un nepilna laika darba iespēju nodrošināšanu vecākiem ar bērniem un personām, kuras aprūpē tuviniekus.</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8.1.11. uz veselību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8.1.12. uz cilvēktiesībām, demokrātiskām vērtībām un pilsoniskās sabiedrības attīstību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8.1.13. uz datu aizsardzību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8.1.14. uz diasporu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8.1.15. uz profesiju reglamentāciju</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8.1.16. uz bērna labākajām interesēm</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Vai projekts skar šo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Nē</w:t>
      </w:r>
    </w:p>
    <w:p w:rsidP="00000000" w:rsidRDefault="00000000" w:rsidR="00000000" w:rsidRPr="00000000" w:rsidDel="00000000">
      <w:pPr>
        <w:contextualSpacing w:val="0"/>
        <w:spacing w:before="270" w:beforeAutospacing="0"/>
        <w:spacing w:after="180" w:afterAutospacing="0"/>
        <w:spacing w:lineRule="auto" w:line="240"/>
        <w:pBdr/>
      </w:pPr>
      <w:r w:rsidR="00000000" w:rsidRPr="00000000" w:rsidDel="00000000">
        <w:rPr>
          <w:rtl w:val="0"/>
        </w:rPr>
        <w:t xml:space="preserve"/>
      </w:r>
      <w:r w:rsidR="00000000" w:rsidRPr="00000000" w:rsidDel="00000000">
        <w:rPr>
          <w:sz w:val="30"/>
          <w:b w:val="1"/>
          <w:rtl w:val="0"/>
        </w:rPr>
        <w:t xml:space="preserve">8.2. Cita informācija</w:t>
      </w:r>
    </w:p>
    <w:p w:rsidP="00000000" w:rsidRDefault="00000000" w:rsidR="00000000" w:rsidRPr="00000000" w:rsidDel="00000000">
      <w:pPr>
        <w:contextualSpacing w:val="0"/>
        <w:spacing w:before="90" w:beforeAutospacing="0"/>
        <w:spacing w:after="90" w:afterAutospacing="0"/>
        <w:spacing w:lineRule="auto" w:line="240"/>
        <w:pBdr/>
      </w:pPr>
      <w:r w:rsidR="00000000" w:rsidRPr="00000000" w:rsidDel="00000000">
        <w:rPr>
          <w:rtl w:val="0"/>
        </w:rPr>
        <w:t xml:space="preserve"/>
      </w:r>
      <w:r w:rsidR="00000000" w:rsidRPr="00000000" w:rsidDel="00000000">
        <w:rPr>
          <w:b w:val="1"/>
          <w:rtl w:val="0"/>
        </w:rPr>
        <w:t xml:space="preserve">Cita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paredz pienākumu finansējuma saņēmējam uzkrāt datus par šādiem horizontālā principa “Vienlīdzība, iekļaušana, nediskriminācija un pamattiesību ievērošana” rādītājiem, ja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izstrādāto vai pilnveidoto stratēģiju, izglītības programmu, metodisko līdzekļu, vadlīniju, mācību līdzekļu, t.sk. digitālo, mediju kampaņu, semināru un komunikācijas pasākumu skaits, kuros integrēti jautājumi par dzimumu līdztiesību, personu ar invaliditāti vienlīdzīgām iespējām, diskriminācijas novēršanu vecuma, etniskās piederības u.c. iemeslu dēļ, kā arī pamattiesību jautājumi, tostarp par tiesiskajiem un aspektiem;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mediju kampaņu, semināru, konferenču un komunikācijas pasākumu skaits, kuros sabiedrības informēšanai tika nodrošināti cilvēkiem ar dažāda veida funkcionāliem traucējumiem piekļūstami formāti (piemēram, tulkošana zīmju valodā, subtitrēšana, reāllaika transkripcija, raidījumu un pasākumu ieraksti).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Pasākumam nav ietekmes uz horizontālo principu “Klimatdrošināšana”, “Energoefektivitāte pirmajā vietā”, “Nenodarīt būtisku kaitējumu” īstenošanu.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Anotācija (ex-ante) 24-TA-613</w:t>
    </w:r>
    <w:r>
      <w:br/>
    </w:r>
    <w:r w:rsidR="00000000" w:rsidRPr="00000000" w:rsidDel="00000000">
      <w:rPr>
        <w:rtl w:val="0"/>
      </w:rPr>
      <w:t xml:space="preserve">Izdrukāts 14.05.2024. 14.20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Anotācija (ex-ante) 24-TA-613</w:t>
    </w:r>
    <w:r>
      <w:br/>
    </w:r>
    <w:r w:rsidR="00000000" w:rsidRPr="00000000" w:rsidDel="00000000">
      <w:rPr>
        <w:rtl w:val="0"/>
      </w:rPr>
      <w:t xml:space="preserve">Izdrukāts 14.05.2024. 14.20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bold_paragraph_header" w:type="paragraph">
    <w:name w:val="bold_paragraph_header"/>
    <w:basedOn w:val="Normal"/>
    <w:next w:val="Normal"/>
    <w:pPr>
      <w:keepNext w:val="0"/>
      <w:keepLines w:val="0"/>
      <w:widowControl w:val="1"/>
      <w:spacing w:lineRule="auto" w:line="240"/>
      <w:contextualSpacing w:val="1"/>
      <w:jc w:val="center"/>
    </w:pPr>
    <w:rPr>
      <w:b w:val="1"/>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oter" Target="footer2.xml"/><Relationship Id="rId7" Type="http://schemas.openxmlformats.org/officeDocument/2006/relationships/header" Target="header1.xml"/><Relationship Id="rId2" Type="http://schemas.openxmlformats.org/officeDocument/2006/relationships/footer" Target="footer1.xml"/><Relationship Id="rId1" Type="http://schemas.openxmlformats.org/officeDocument/2006/relationships/fontTable" Target="fontTable.xml"/><Relationship Id="rId6" Type="http://schemas.openxmlformats.org/officeDocument/2006/relationships/styles" Target="styles.xml"/><Relationship Id="rId5" Type="http://schemas.openxmlformats.org/officeDocument/2006/relationships/settings" Target="setting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8" ma:contentTypeDescription="Izveidot jaunu dokumentu." ma:contentTypeScope="" ma:versionID="4e5e1571dcf83e6784ce3fd1521973cf">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7572d86d6a902072d313ea9ff73516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9D281-C04C-41B6-AC0D-B037CF2910CD}"/>
</file>

<file path=customXml/itemProps2.xml><?xml version="1.0" encoding="utf-8"?>
<ds:datastoreItem xmlns:ds="http://schemas.openxmlformats.org/officeDocument/2006/customXml" ds:itemID="{C9569365-AC15-4824-B4A6-BDF4A5A9E19E}"/>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anotācija_(ex_ante)_24-TA-613.docx</dc:title>
</cp:coreProperties>
</file>

<file path=docProps/custom.xml><?xml version="1.0" encoding="utf-8"?>
<Properties xmlns="http://schemas.openxmlformats.org/officeDocument/2006/custom-properties" xmlns:vt="http://schemas.openxmlformats.org/officeDocument/2006/docPropsVTypes"/>
</file>