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Eiropas Savienības kohēzijas politikas programmas 2021. – 2027. gadam 4.2.4. specifiskā atbalsta mērķa "Veicināt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 4.2.4.3. pasākuma "Digitālo prasmju pilnveide"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w:t>
      </w:r>
      <w:r w:rsidR="00000000" w:rsidRPr="00000000" w:rsidDel="00000000">
        <w:rPr>
          <w:rStyle w:val="paragraph"/>
          <w:i w:val="1"/>
          <w:rtl w:val="0"/>
        </w:rPr>
        <w:t xml:space="preserve">Eiropas Savienības fondu 2021.—2027. gada plānošanas perioda vadības likuma</w:t>
      </w:r>
      <w:r w:rsidR="00000000" w:rsidRPr="00000000" w:rsidDel="00000000">
        <w:rPr>
          <w:rStyle w:val="paragraph"/>
          <w:i w:val="1"/>
          <w:rtl w:val="0"/>
        </w:rPr>
        <w:t xml:space="preserve"> </w:t>
      </w:r>
      <w:r w:rsidR="00000000" w:rsidRPr="00000000" w:rsidDel="00000000">
        <w:rPr>
          <w:rStyle w:val="paragraph"/>
          <w:i w:val="1"/>
          <w:rtl w:val="0"/>
        </w:rPr>
        <w:t xml:space="preserve">19. panta</w:t>
      </w:r>
      <w:r w:rsidR="00000000" w:rsidRPr="00000000" w:rsidDel="00000000">
        <w:rPr>
          <w:rStyle w:val="paragraph"/>
          <w:i w:val="1"/>
          <w:rtl w:val="0"/>
        </w:rPr>
        <w:t xml:space="preserve"> 6. un 13. punktu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w:t>
      </w:r>
      <w:r w:rsidR="00000000" w:rsidRPr="00000000" w:rsidDel="00000000">
        <w:rPr>
          <w:rtl w:val="0"/>
        </w:rPr>
        <w:t xml:space="preserve"> </w:t>
      </w:r>
      <w:r w:rsidR="00000000" w:rsidRPr="00000000" w:rsidDel="00000000">
        <w:rPr>
          <w:rStyle w:val="paragraph_header"/>
          <w:b w:val="1"/>
          <w:rtl w:val="0"/>
        </w:rPr>
        <w:t xml:space="preserve">Vispārīgie jautājumi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kārtību, kādā īsteno Eiropas Savienības kohēzijas politikas programmas 2021. – 2027. gadam 4.2.4. specifiskā atbalsta mērķa "Veicināt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 4.2.4.3. pasākumu "Digitālo prasmju pilnveide" (turpmāk – pasākums);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pasākuma mērķi;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pasākumam plānoto un pieejamo finansējumu;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prasības Eiropas Sociālā fonda Plus projekta (turpmāk – projekts) iesniedzējam, finansējuma saņēmējam un projekta sadarbības partneriem;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atbalstāmo darbību un izmaksu attiecināmības nosacījumus;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pasākuma un projekta īstenošanas nosacījumus;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vienkāršoto izmaksu piemērošanas nosacījumus un kārtību.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Pasākumu īsteno ierobežotas projektu iesniegumu atlases veidā.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Pasākuma atbalsts tiek sniegts granta veidā.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Pasākuma ietvaros atbildīgās iestādes funkcijas pilda Vides aizsardzības un reģionālās attīstības ministrija.</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Projekta īstenošanas vieta ir Latvijas Republika.</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w:t>
      </w:r>
      <w:r w:rsidR="00000000" w:rsidRPr="00000000" w:rsidDel="00000000">
        <w:rPr>
          <w:rtl w:val="0"/>
        </w:rPr>
        <w:t xml:space="preserve"> </w:t>
      </w:r>
      <w:r w:rsidR="00000000" w:rsidRPr="00000000" w:rsidDel="00000000">
        <w:rPr>
          <w:rStyle w:val="paragraph_header"/>
          <w:b w:val="1"/>
          <w:rtl w:val="0"/>
        </w:rPr>
        <w:t xml:space="preserve">Pasākuma mērķis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Pasākuma mērķis ir pilnveidot valsts un pašvaldību iestāžu darbinieku (digitālo mentoru) digitālās prasmes, un veicināt uz sabiedrību un uzņēmējiem orientēto digitālo iespēju un platformu izmantošanu, tādējādi paaugstinot informācijas un komunikācijas tehnoloģiju iespēju izmantošanu, un mazinot digitālo plaisu sabiedrībā.</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Pasākuma mērķa grupa ir valsts un pašvaldību iestāžu darbinieki (digitālie mentori), visa Latvijas sabiedrība.</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Pasākumu īsteno līdz 2029. gada 31. decembrim, sasniedzot šādus rādītājus:</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programmas iznākuma rādītājs – 1 867 nodarbinātas personas (personu skaits) – tai skaitā par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minēto finansējumu – vismaz 1 572 nodarbinātas personas;</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nacionālie rezultāta rādītāji:</w:t>
      </w:r>
    </w:p>
    <w:p w:rsidP="00000000" w:rsidRDefault="00000000" w:rsidR="00000000" w:rsidRPr="00000000" w:rsidDel="00000000">
      <w:pPr>
        <w:numPr>
          <w:ilvl w:val="2"/>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organizēti vismaz 30 pasākumi informācijas un komunikācijas tehnoloģiju iespēju izmantošanas veicināšanai (semināri, konferences vai citi pasākumi) – tai skaitā par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minēto finansējumu – vismaz 25 pasākumi;</w:t>
      </w:r>
    </w:p>
    <w:p w:rsidP="00000000" w:rsidRDefault="00000000" w:rsidR="00000000" w:rsidRPr="00000000" w:rsidDel="00000000">
      <w:pPr>
        <w:numPr>
          <w:ilvl w:val="2"/>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mācībās piedalījušās vismaz 1 867 valsts un pašvaldību darbinieki (digitālie mentori) – tai skaitā par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minēto finansējumu – vismaz 1 572 valsts un pašvaldību darbinieki;</w:t>
      </w:r>
    </w:p>
    <w:p w:rsidP="00000000" w:rsidRDefault="00000000" w:rsidR="00000000" w:rsidRPr="00000000" w:rsidDel="00000000">
      <w:pPr>
        <w:numPr>
          <w:ilvl w:val="2"/>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īstenotas vismaz piecas integrētās komunikāciju kampaņas – tai skaitā par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minēto finansējumu – vismaz četras kampaņas.</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III.</w:t>
      </w:r>
      <w:r w:rsidR="00000000" w:rsidRPr="00000000" w:rsidDel="00000000">
        <w:rPr>
          <w:rtl w:val="0"/>
        </w:rPr>
        <w:t xml:space="preserve"> </w:t>
      </w:r>
      <w:r w:rsidR="00000000" w:rsidRPr="00000000" w:rsidDel="00000000">
        <w:rPr>
          <w:rStyle w:val="paragraph_header"/>
          <w:b w:val="1"/>
          <w:rtl w:val="0"/>
        </w:rPr>
        <w:t xml:space="preserve">Pasākumam pieejamais finansējums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Pasākuma ietvaros plānotais kopējais finansējums ir 4 335 338 </w:t>
      </w:r>
      <w:r w:rsidR="00000000" w:rsidRPr="00000000" w:rsidDel="00000000">
        <w:rPr>
          <w:i w:val="1"/>
          <w:rtl w:val="0"/>
        </w:rPr>
        <w:t xml:space="preserve">euro</w:t>
      </w:r>
      <w:r w:rsidR="00000000" w:rsidRPr="00000000" w:rsidDel="00000000">
        <w:rPr>
          <w:rtl w:val="0"/>
        </w:rPr>
        <w:t xml:space="preserve"> (tai skaitā elastības finansējums 684 008 </w:t>
      </w:r>
      <w:r w:rsidR="00000000" w:rsidRPr="00000000" w:rsidDel="00000000">
        <w:rPr>
          <w:i w:val="1"/>
          <w:rtl w:val="0"/>
        </w:rPr>
        <w:t xml:space="preserve">euro</w:t>
      </w:r>
      <w:r w:rsidR="00000000" w:rsidRPr="00000000" w:rsidDel="00000000">
        <w:rPr>
          <w:rtl w:val="0"/>
        </w:rPr>
        <w:t xml:space="preserve">), tai skaitā Eiropas Sociālā fonda Plus finansējums 3 685 037 </w:t>
      </w:r>
      <w:r w:rsidR="00000000" w:rsidRPr="00000000" w:rsidDel="00000000">
        <w:rPr>
          <w:i w:val="1"/>
          <w:rtl w:val="0"/>
        </w:rPr>
        <w:t xml:space="preserve">euro</w:t>
      </w:r>
      <w:r w:rsidR="00000000" w:rsidRPr="00000000" w:rsidDel="00000000">
        <w:rPr>
          <w:rtl w:val="0"/>
        </w:rPr>
        <w:t xml:space="preserve"> (tai skaitā elastības finansējums 581 407 </w:t>
      </w:r>
      <w:r w:rsidR="00000000" w:rsidRPr="00000000" w:rsidDel="00000000">
        <w:rPr>
          <w:i w:val="1"/>
          <w:rtl w:val="0"/>
        </w:rPr>
        <w:t xml:space="preserve">euro</w:t>
      </w:r>
      <w:r w:rsidR="00000000" w:rsidRPr="00000000" w:rsidDel="00000000">
        <w:rPr>
          <w:rtl w:val="0"/>
        </w:rPr>
        <w:t xml:space="preserve">) un valsts budžeta līdzfinansējums 650 301 </w:t>
      </w:r>
      <w:r w:rsidR="00000000" w:rsidRPr="00000000" w:rsidDel="00000000">
        <w:rPr>
          <w:i w:val="1"/>
          <w:rtl w:val="0"/>
        </w:rPr>
        <w:t xml:space="preserve">euro</w:t>
      </w:r>
      <w:r w:rsidR="00000000" w:rsidRPr="00000000" w:rsidDel="00000000">
        <w:rPr>
          <w:rtl w:val="0"/>
        </w:rPr>
        <w:t xml:space="preserve"> (tai skaitā elastības finansējums 102 601 </w:t>
      </w:r>
      <w:r w:rsidR="00000000" w:rsidRPr="00000000" w:rsidDel="00000000">
        <w:rPr>
          <w:i w:val="1"/>
          <w:rtl w:val="0"/>
        </w:rPr>
        <w:t xml:space="preserve">euro</w:t>
      </w:r>
      <w:r w:rsidR="00000000" w:rsidRPr="00000000" w:rsidDel="00000000">
        <w:rPr>
          <w:rtl w:val="0"/>
        </w:rPr>
        <w:t xml:space="preserve">). Maksimālais Eiropas Sociālā fonda Plus finansējuma apmērs nepārsniedz 85 procentus no projekta kopējā attiecināmā finansējuma.</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Pasākumam pieejamais kopējais finansējums ir 3 651 330 </w:t>
      </w:r>
      <w:r w:rsidR="00000000" w:rsidRPr="00000000" w:rsidDel="00000000">
        <w:rPr>
          <w:i w:val="1"/>
          <w:rtl w:val="0"/>
        </w:rPr>
        <w:t xml:space="preserve">euro</w:t>
      </w:r>
      <w:r w:rsidR="00000000" w:rsidRPr="00000000" w:rsidDel="00000000">
        <w:rPr>
          <w:rtl w:val="0"/>
        </w:rPr>
        <w:t xml:space="preserve">, tai skaitā Eiropas Sociālā fonda Plus finansējums 3 103 630 </w:t>
      </w:r>
      <w:r w:rsidR="00000000" w:rsidRPr="00000000" w:rsidDel="00000000">
        <w:rPr>
          <w:i w:val="1"/>
          <w:rtl w:val="0"/>
        </w:rPr>
        <w:t xml:space="preserve">euro</w:t>
      </w:r>
      <w:r w:rsidR="00000000" w:rsidRPr="00000000" w:rsidDel="00000000">
        <w:rPr>
          <w:rtl w:val="0"/>
        </w:rPr>
        <w:t xml:space="preserve"> un valsts budžeta līdzfinansējums 547 700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Atbildīgā iestāde pēc Eiropas Komisijas lēmuma par vidusposma pārskatu var ierosināt no 2026. gada 1. janvāra palielināt pasākumam pieejamo kopējo finansējumu līdz šo noteikumu </w:t>
      </w:r>
      <w:r w:rsidR="00000000" w:rsidRPr="00000000" w:rsidDel="00000000">
        <w:rPr>
          <w:rtl w:val="0"/>
        </w:rPr>
        <w:t xml:space="preserve">9. </w:t>
      </w:r>
      <w:r w:rsidR="00000000" w:rsidRPr="00000000" w:rsidDel="00000000">
        <w:rPr>
          <w:rtl w:val="0"/>
        </w:rPr>
        <w:t xml:space="preserve">punktā</w:t>
      </w:r>
      <w:r w:rsidR="00000000" w:rsidRPr="00000000" w:rsidDel="00000000">
        <w:rPr>
          <w:rtl w:val="0"/>
        </w:rPr>
        <w:t xml:space="preserve"> minētajam plānotajam kopējam finansējuma apmēram.</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IV.</w:t>
      </w:r>
      <w:r w:rsidR="00000000" w:rsidRPr="00000000" w:rsidDel="00000000">
        <w:rPr>
          <w:rtl w:val="0"/>
        </w:rPr>
        <w:t xml:space="preserve"> </w:t>
      </w:r>
      <w:r w:rsidR="00000000" w:rsidRPr="00000000" w:rsidDel="00000000">
        <w:rPr>
          <w:rStyle w:val="paragraph_header"/>
          <w:b w:val="1"/>
          <w:rtl w:val="0"/>
        </w:rPr>
        <w:t xml:space="preserve">Prasības projekta iesniedzējam un sadarbības partnerim</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Projekta iesniedzējs pasākuma ietvaros ir Vides aizsardzības un reģionālās attīstības ministrija kā par digitālo transformāciju atbildīgā nozares ministrija. Ja sadarbības iestāde apstiprina projekta iesniegumu un noslēdz vienošanos par projekta īstenošanu, projekta iesniedzējs ir arī finansējuma saņēmējs.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17. </w:t>
      </w:r>
      <w:r w:rsidR="00000000" w:rsidRPr="00000000" w:rsidDel="00000000">
        <w:rPr>
          <w:rtl w:val="0"/>
        </w:rPr>
        <w:t xml:space="preserve">punktā</w:t>
      </w:r>
      <w:r w:rsidR="00000000" w:rsidRPr="00000000" w:rsidDel="00000000">
        <w:rPr>
          <w:rtl w:val="0"/>
        </w:rPr>
        <w:t xml:space="preserve"> minēto atbalstāmo darbību īstenošanā projekta iesniedzējs par sadarbības partneri var piesaistīt tiešās vai pastarpinātās pārvaldes iestādi.</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Ja projekta iesniedzējs projekta īstenošanā piesaista vienu vai vairākus sadarbības partnerus, projekta iesniegumā pamato projekta ietvaros plānotās partnerības nepieciešamību. Finansējuma saņēmējs un sadarbības partneris (ja attiecināms) slēdz sadarbības līgumu saskaņā ar normatīvo aktu, kas nosaka kārtību, kādā Eiropas Savienības fondu vadībā iesaistītās institūcijas nodrošina šo fondu ieviešanu 2021.–2027. gada plānošanas periodā.</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15.</w:t>
      </w:r>
      <w:r w:rsidR="00000000" w:rsidRPr="00000000" w:rsidDel="00000000">
        <w:rPr>
          <w:rtl w:val="0"/>
        </w:rPr>
        <w:t xml:space="preserve"> </w:t>
      </w:r>
      <w:r w:rsidR="00000000" w:rsidRPr="00000000" w:rsidDel="00000000">
        <w:rPr>
          <w:rtl w:val="0"/>
        </w:rPr>
        <w:t xml:space="preserve">Projekta iesniedzējs sagatavo projekta iesniegumu atbilstoši projekta iesnieguma atlases nolikumā noteiktajām prasībām un iesniedz to sadarbības iestādē, izmantojot Kohēzijas politikas fondu vadības informācijas sistēmu.</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 </w:t>
      </w:r>
      <w:r w:rsidR="00000000" w:rsidRPr="00000000" w:rsidDel="00000000">
        <w:rPr>
          <w:rtl w:val="0"/>
        </w:rPr>
        <w:t xml:space="preserve">Projekta iesniedzējs pasākuma ietvaros iesniedz vienu projekta iesniegumu.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w:t>
      </w:r>
      <w:r w:rsidR="00000000" w:rsidRPr="00000000" w:rsidDel="00000000">
        <w:rPr>
          <w:rtl w:val="0"/>
        </w:rPr>
        <w:t xml:space="preserve"> </w:t>
      </w:r>
      <w:r w:rsidR="00000000" w:rsidRPr="00000000" w:rsidDel="00000000">
        <w:rPr>
          <w:rStyle w:val="paragraph_header"/>
          <w:b w:val="1"/>
          <w:rtl w:val="0"/>
        </w:rPr>
        <w:t xml:space="preserve">Atbalstāmo darbību un izmaksu attiecināmības nosacījumi</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 </w:t>
      </w:r>
      <w:r w:rsidR="00000000" w:rsidRPr="00000000" w:rsidDel="00000000">
        <w:rPr>
          <w:rtl w:val="0"/>
        </w:rPr>
        <w:t xml:space="preserve">Pasākuma ietvaros ir atbalstāmas šādas darbības: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mācību programmu izstrāde un aktualizācija;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mācību aktivitāšu īstenošanas un organizēšanas nodrošināšana, tai skaitā tehniskā nodrošināšana, nodarbinātām personām (valsts un pašvaldību darbiniekiem);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monitoringa veikšana;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mācību vajadzību apzināšana un izvērtēšana;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komunikācijas pasākumi par digitālās transformācijas politikas un pasākumu īstenošanu Latvijā, kā arī par valsts un pašvaldību iestāžu nodrošināto digitālo risinājumu izmantošanas iespējām, un to izmantošanas nozīmību;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projekta vadības un īstenošanas nodrošināšana;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komunikācijas un vizuālās identitātes prasību nodrošināšanas pasākumi par projekta īstenošanu.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w:t>
      </w:r>
      <w:r w:rsidR="00000000" w:rsidRPr="00000000" w:rsidDel="00000000">
        <w:rPr>
          <w:rtl w:val="0"/>
        </w:rPr>
        <w:t xml:space="preserve"> </w:t>
      </w:r>
      <w:r w:rsidR="00000000" w:rsidRPr="00000000" w:rsidDel="00000000">
        <w:rPr>
          <w:rStyle w:val="paragraph_header"/>
          <w:b w:val="1"/>
          <w:rtl w:val="0"/>
        </w:rPr>
        <w:t xml:space="preserve">Pasākuma īstenošanas nosacījumi</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Projektā neiekļauj darbības, kas nav vērstas uz šo noteikumu </w:t>
      </w:r>
      <w:r w:rsidR="00000000" w:rsidRPr="00000000" w:rsidDel="00000000">
        <w:rPr>
          <w:rtl w:val="0"/>
        </w:rPr>
        <w:t xml:space="preserve">6. </w:t>
      </w:r>
      <w:r w:rsidR="00000000" w:rsidRPr="00000000" w:rsidDel="00000000">
        <w:rPr>
          <w:rtl w:val="0"/>
        </w:rPr>
        <w:t xml:space="preserve">punktā</w:t>
      </w:r>
      <w:r w:rsidR="00000000" w:rsidRPr="00000000" w:rsidDel="00000000">
        <w:rPr>
          <w:rtl w:val="0"/>
        </w:rPr>
        <w:t xml:space="preserve"> noteiktā mērķa sasniegšanu.</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 </w:t>
      </w:r>
      <w:r w:rsidR="00000000" w:rsidRPr="00000000" w:rsidDel="00000000">
        <w:rPr>
          <w:rtl w:val="0"/>
        </w:rPr>
        <w:t xml:space="preserve">Pasākuma ietvaros ir attiecināmas šādas izmaksas:</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tiešās attiecināmās izmaksas, kas ir tieši saistītas ar projekta īstenošanu un nepieciešamas projekta rezultātu sasniegšanai, un šī saistība ir skaidri saprotama un pierādāma;</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netiešās attiecināmās izmaksas, kas nav tieši saistītas ar projekta rezultātu sasniegšanu, bet atbalsta un nodrošina atbilstošus apstākļus projekta īstenošanai un projekta rezultātu sasniegšanai.</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 </w:t>
      </w:r>
      <w:r w:rsidR="00000000" w:rsidRPr="00000000" w:rsidDel="00000000">
        <w:rPr>
          <w:rtl w:val="0"/>
        </w:rPr>
        <w:t xml:space="preserve">Pasākuma ietvaros ir attiecināmas šādas projekta tiešās attiecināmās izmaksas, kas ir tieši saistītas ar projekta īstenošanu un nepieciešamas projekta rezultātu sasniegšanai:</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personāla izmaksas, kuras saskaņā ar Eiropas Parlamenta un Padomes 2021. gada 24. jūnija Regulas (ES) </w:t>
      </w:r>
      <w:r w:rsidR="00000000" w:rsidRPr="00000000" w:rsidDel="00000000">
        <w:rPr>
          <w:rtl w:val="0"/>
        </w:rPr>
        <w:t xml:space="preserve">2021/1060</w:t>
      </w:r>
      <w:r w:rsidR="00000000" w:rsidRPr="00000000" w:rsidDel="00000000">
        <w:rPr>
          <w:rtl w:val="0"/>
        </w:rPr>
        <w:t xml:space="preserve">,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w:t>
      </w:r>
      <w:r w:rsidR="00000000" w:rsidRPr="00000000" w:rsidDel="00000000">
        <w:rPr>
          <w:rtl w:val="0"/>
        </w:rPr>
        <w:t xml:space="preserve">2021/1060</w:t>
      </w:r>
      <w:r w:rsidR="00000000" w:rsidRPr="00000000" w:rsidDel="00000000">
        <w:rPr>
          <w:rtl w:val="0"/>
        </w:rPr>
        <w:t xml:space="preserve">) 55. panta 1. punktu projekta iesniegumā plāno kā vienu izmaksu pozīciju, piemērojot izmaksu vienoto likmi 20 procentu apmērā no šo noteikumu </w:t>
      </w:r>
      <w:r w:rsidR="00000000" w:rsidRPr="00000000" w:rsidDel="00000000">
        <w:rPr>
          <w:rtl w:val="0"/>
        </w:rPr>
        <w:t xml:space="preserve">20.2.</w:t>
      </w:r>
      <w:r w:rsidR="00000000" w:rsidRPr="00000000" w:rsidDel="00000000">
        <w:rPr>
          <w:rtl w:val="0"/>
        </w:rPr>
        <w:t xml:space="preserve">, </w:t>
      </w:r>
      <w:r w:rsidR="00000000" w:rsidRPr="00000000" w:rsidDel="00000000">
        <w:rPr>
          <w:rtl w:val="0"/>
        </w:rPr>
        <w:t xml:space="preserve">20.3.</w:t>
      </w:r>
      <w:r w:rsidR="00000000" w:rsidRPr="00000000" w:rsidDel="00000000">
        <w:rPr>
          <w:rtl w:val="0"/>
        </w:rPr>
        <w:t xml:space="preserve">, </w:t>
      </w:r>
      <w:r w:rsidR="00000000" w:rsidRPr="00000000" w:rsidDel="00000000">
        <w:rPr>
          <w:rtl w:val="0"/>
        </w:rPr>
        <w:t xml:space="preserve">20.4.</w:t>
      </w:r>
      <w:r w:rsidR="00000000" w:rsidRPr="00000000" w:rsidDel="00000000">
        <w:rPr>
          <w:rtl w:val="0"/>
        </w:rPr>
        <w:t xml:space="preserve">, </w:t>
      </w:r>
      <w:r w:rsidR="00000000" w:rsidRPr="00000000" w:rsidDel="00000000">
        <w:rPr>
          <w:rtl w:val="0"/>
        </w:rPr>
        <w:t xml:space="preserve">20.5.</w:t>
      </w:r>
      <w:r w:rsidR="00000000" w:rsidRPr="00000000" w:rsidDel="00000000">
        <w:rPr>
          <w:rtl w:val="0"/>
        </w:rPr>
        <w:t xml:space="preserve">, </w:t>
      </w:r>
      <w:r w:rsidR="00000000" w:rsidRPr="00000000" w:rsidDel="00000000">
        <w:rPr>
          <w:rtl w:val="0"/>
        </w:rPr>
        <w:t xml:space="preserve">20.6.</w:t>
      </w:r>
      <w:r w:rsidR="00000000" w:rsidRPr="00000000" w:rsidDel="00000000">
        <w:rPr>
          <w:rtl w:val="0"/>
        </w:rPr>
        <w:t xml:space="preserve">, </w:t>
      </w:r>
      <w:r w:rsidR="00000000" w:rsidRPr="00000000" w:rsidDel="00000000">
        <w:rPr>
          <w:rtl w:val="0"/>
        </w:rPr>
        <w:t xml:space="preserve">20.7.</w:t>
      </w:r>
      <w:r w:rsidR="00000000" w:rsidRPr="00000000" w:rsidDel="00000000">
        <w:rPr>
          <w:rtl w:val="0"/>
        </w:rPr>
        <w:t xml:space="preserve">, </w:t>
      </w:r>
      <w:r w:rsidR="00000000" w:rsidRPr="00000000" w:rsidDel="00000000">
        <w:rPr>
          <w:rtl w:val="0"/>
        </w:rPr>
        <w:t xml:space="preserve">20.8.</w:t>
      </w:r>
      <w:r w:rsidR="00000000" w:rsidRPr="00000000" w:rsidDel="00000000">
        <w:rPr>
          <w:rtl w:val="0"/>
        </w:rPr>
        <w:t xml:space="preserve">, </w:t>
      </w:r>
      <w:r w:rsidR="00000000" w:rsidRPr="00000000" w:rsidDel="00000000">
        <w:rPr>
          <w:rtl w:val="0"/>
        </w:rPr>
        <w:t xml:space="preserve">20.9.</w:t>
      </w:r>
      <w:r w:rsidR="00000000" w:rsidRPr="00000000" w:rsidDel="00000000">
        <w:rPr>
          <w:rtl w:val="0"/>
        </w:rPr>
        <w:t xml:space="preserve">, </w:t>
      </w:r>
      <w:r w:rsidR="00000000" w:rsidRPr="00000000" w:rsidDel="00000000">
        <w:rPr>
          <w:rtl w:val="0"/>
        </w:rPr>
        <w:t xml:space="preserve">20.10.</w:t>
      </w:r>
      <w:r w:rsidR="00000000" w:rsidRPr="00000000" w:rsidDel="00000000">
        <w:rPr>
          <w:rtl w:val="0"/>
        </w:rPr>
        <w:t xml:space="preserve"> un </w:t>
      </w:r>
      <w:r w:rsidR="00000000" w:rsidRPr="00000000" w:rsidDel="00000000">
        <w:rPr>
          <w:rtl w:val="0"/>
        </w:rPr>
        <w:t xml:space="preserve">20.11.</w:t>
      </w:r>
      <w:r w:rsidR="00000000" w:rsidRPr="00000000" w:rsidDel="00000000">
        <w:rPr>
          <w:rtl w:val="0"/>
        </w:rPr>
        <w:t xml:space="preserve"> apakšpunktā minētajām projekta pārējām tiešajām attiecināmajām izmaksām;</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ārvalstu komandējumu izmaksas finansējuma saņēmēja projekta vadītājam un īstenošanas personālam un projekta vadības un īstenošanas personāla iekšzemes komandējumu un darba braucienu izmaksas atbilstoši normatīvajiem aktiem par kārtību, kādā atlīdzināmi ar komandējumu saistītie izdevumi, ja tās ir pamatotas un saistītas ar projekta īstenošanu. Iekšzemes komandējumu izmaksas tiek segtas atbilstoši Finanšu ministrijas metodikā "Vienas vienības izmaksu standarta likmes aprēķina un piemērošanas metodika iekšzemes komandējumu izmaksām darbības programmas "Izaugsme un nodarbinātība" un Eiropas Savienības kohēzijas politikas programmas 2021.–2027. gadam īstenošanai" iekļautajiem nosacījumiem;</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jaunradītu projekta vadības un īstenošanas personāla darba vietu aprīkojuma, biroja mēbeļu, tehnikas, datorprogrammu un licenču iegādes vai īres izmaksas ne vairāk kā 3 000 </w:t>
      </w:r>
      <w:r w:rsidR="00000000" w:rsidRPr="00000000" w:rsidDel="00000000">
        <w:rPr>
          <w:i w:val="1"/>
          <w:rtl w:val="0"/>
        </w:rPr>
        <w:t xml:space="preserve">euro</w:t>
      </w:r>
      <w:r w:rsidR="00000000" w:rsidRPr="00000000" w:rsidDel="00000000">
        <w:rPr>
          <w:rtl w:val="0"/>
        </w:rPr>
        <w:t xml:space="preserve"> vienai darba vietai visā projekta īstenošanas laikā, ja projekta vadības un īstenošanas personāls ir nodarbināts projektā uz darba līguma pamata. Ja projekta vadības un īstenošanas personāls ir nodarbināts nepilnu darba laiku vai daļlaiku, jaunradītas darba vietas aprīkojuma iegādes vai īres izmaksas ir attiecināmas proporcionāli darba slodzes procentuālajam sadalījumam, bet daļlaika noslodzes gadījumā – ņemot vērā darbinieka iesaistes periodu projektā pret kopējo projekta īstenošanas ilgumu;</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transporta pakalpojumu izmaksas (maksa par degvielu, transportlīdzekļu noma, transporta pakalpojumu pirkšana, maksa par sabiedriskā transporta izmantošanu), kas ir daļa no iekšzemes komandējumu vai darba braucienu izmaksām. Degvielas izmaksas vieglajam transportlīdzeklim un reģionālā sabiedriskā un vietējā sabiedriskā transporta izmaksas tiek segtas atbilstoši Finanšu ministrijas metodikā "Vienas vienības izmaksu standarta likmes aprēķina un piemērošanas metodika 1 km izmaksām darbības programmas "Izaugsme un nodarbinātība" un Eiropas Savienības kohēzijas politikas programmas 2021.–2027. gadam īstenošanai" iekļautajiem nosacījumiem;</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ar mācību, semināru, konferenču, integrēto komunikācijas kampaņu, pieredzes apmaiņas un citu prasmju paaugstināšanas un informācijas un komunikācijas tehnoloģiju iespēju izmantošanas veicināšanas pasākumu organizēšanu un īstenošanu saistītās izmaksas, tai skaitā:</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lektoru, ekspertu, konsultantu, moderatoru atlīdzība (ieskaitot honorārus, ceļošanas izdevumus);</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tulkošanas izmaksas;</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telpu īres maksa (ja projekta aktivitāšu īstenošanai nepieciešams īrēt telpas ārpus finansējuma saņēmēja juridiskās un faktiskās uzturēšanās adreses);</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tehniskā nodrošinājuma izmaksas mācību un pasākumu īstenošanai;</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ēdināšanas izmaksas;</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informācijas un komunikācijas tehnoloģiju iespēju izmantošanas veicināšanas komunikācijas kampaņu organizēšanas un īstenošanas izmaksas šo noteikumu </w:t>
      </w:r>
      <w:r w:rsidR="00000000" w:rsidRPr="00000000" w:rsidDel="00000000">
        <w:rPr>
          <w:rtl w:val="0"/>
        </w:rPr>
        <w:t xml:space="preserve">17.5. </w:t>
      </w:r>
      <w:r w:rsidR="00000000" w:rsidRPr="00000000" w:rsidDel="00000000">
        <w:rPr>
          <w:rtl w:val="0"/>
        </w:rPr>
        <w:t xml:space="preserve">apakšpunktā</w:t>
      </w:r>
      <w:r w:rsidR="00000000" w:rsidRPr="00000000" w:rsidDel="00000000">
        <w:rPr>
          <w:rtl w:val="0"/>
        </w:rPr>
        <w:t xml:space="preserve"> minēto atbalstāmo darbību īstenošanai;</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informatīvu materiālu izstrādes un izplatīšanas izmaksas;</w:t>
      </w:r>
    </w:p>
    <w:p w:rsidP="00000000" w:rsidRDefault="00000000" w:rsidR="00000000" w:rsidRPr="00000000" w:rsidDel="00000000">
      <w:pPr>
        <w:numPr>
          <w:ilvl w:val="2"/>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mācību materiālu (arī interaktīvu) izstrādes un drukas izmaksas;</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ekspertu pakalpojumi un veiktie izvērtējumi šo noteikumu </w:t>
      </w:r>
      <w:r w:rsidR="00000000" w:rsidRPr="00000000" w:rsidDel="00000000">
        <w:rPr>
          <w:rtl w:val="0"/>
        </w:rPr>
        <w:t xml:space="preserve">17.1.</w:t>
      </w:r>
      <w:r w:rsidR="00000000" w:rsidRPr="00000000" w:rsidDel="00000000">
        <w:rPr>
          <w:rtl w:val="0"/>
        </w:rPr>
        <w:t xml:space="preserve">, </w:t>
      </w:r>
      <w:r w:rsidR="00000000" w:rsidRPr="00000000" w:rsidDel="00000000">
        <w:rPr>
          <w:rtl w:val="0"/>
        </w:rPr>
        <w:t xml:space="preserve">17.2.</w:t>
      </w:r>
      <w:r w:rsidR="00000000" w:rsidRPr="00000000" w:rsidDel="00000000">
        <w:rPr>
          <w:rtl w:val="0"/>
        </w:rPr>
        <w:t xml:space="preserve">, </w:t>
      </w:r>
      <w:r w:rsidR="00000000" w:rsidRPr="00000000" w:rsidDel="00000000">
        <w:rPr>
          <w:rtl w:val="0"/>
        </w:rPr>
        <w:t xml:space="preserve">17.3.</w:t>
      </w:r>
      <w:r w:rsidR="00000000" w:rsidRPr="00000000" w:rsidDel="00000000">
        <w:rPr>
          <w:rtl w:val="0"/>
        </w:rPr>
        <w:t xml:space="preserve">, </w:t>
      </w:r>
      <w:r w:rsidR="00000000" w:rsidRPr="00000000" w:rsidDel="00000000">
        <w:rPr>
          <w:rtl w:val="0"/>
        </w:rPr>
        <w:t xml:space="preserve">17.4.</w:t>
      </w:r>
      <w:r w:rsidR="00000000" w:rsidRPr="00000000" w:rsidDel="00000000">
        <w:rPr>
          <w:rtl w:val="0"/>
        </w:rPr>
        <w:t xml:space="preserve"> un </w:t>
      </w:r>
      <w:r w:rsidR="00000000" w:rsidRPr="00000000" w:rsidDel="00000000">
        <w:rPr>
          <w:rtl w:val="0"/>
        </w:rPr>
        <w:t xml:space="preserve">17.5. </w:t>
      </w:r>
      <w:r w:rsidR="00000000" w:rsidRPr="00000000" w:rsidDel="00000000">
        <w:rPr>
          <w:rtl w:val="0"/>
        </w:rPr>
        <w:t xml:space="preserve">apakšpunktā minēto atbalstāmo darbību plānošanai un īstenošanai;</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ar projekta darbībām tieši saistīto informācijas un publicitātes pasākumu izmaksas;</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ar šo noteikumu </w:t>
      </w:r>
      <w:r w:rsidR="00000000" w:rsidRPr="00000000" w:rsidDel="00000000">
        <w:rPr>
          <w:rtl w:val="0"/>
        </w:rPr>
        <w:t xml:space="preserve">17.3. </w:t>
      </w:r>
      <w:r w:rsidR="00000000" w:rsidRPr="00000000" w:rsidDel="00000000">
        <w:rPr>
          <w:rtl w:val="0"/>
        </w:rPr>
        <w:t xml:space="preserve">apakšpunktā</w:t>
      </w:r>
      <w:r w:rsidR="00000000" w:rsidRPr="00000000" w:rsidDel="00000000">
        <w:rPr>
          <w:rtl w:val="0"/>
        </w:rPr>
        <w:t xml:space="preserve"> minētā monitoringa veikšanu saistītās izmaksas;</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ar šo noteikumu </w:t>
      </w:r>
      <w:r w:rsidR="00000000" w:rsidRPr="00000000" w:rsidDel="00000000">
        <w:rPr>
          <w:rtl w:val="0"/>
        </w:rPr>
        <w:t xml:space="preserve">17.4. </w:t>
      </w:r>
      <w:r w:rsidR="00000000" w:rsidRPr="00000000" w:rsidDel="00000000">
        <w:rPr>
          <w:rtl w:val="0"/>
        </w:rPr>
        <w:t xml:space="preserve">apakšpunktā</w:t>
      </w:r>
      <w:r w:rsidR="00000000" w:rsidRPr="00000000" w:rsidDel="00000000">
        <w:rPr>
          <w:rtl w:val="0"/>
        </w:rPr>
        <w:t xml:space="preserve"> minētās mācību vajadzību apzināšanas un izvērtēšanas saistītās izmaksas;</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ar mācību programmu izstrādi saistīto informācijas un komunikācijas tehnoloģiju risinājumu, aparatūras un programmatūras izmaksas mācību nodrošināšanai, kā arī ar apmācībām saistītu materiālu izvietošanas tīmekļa vietnēs izmaksas, to uzturēšana un aktualizācija projekta īstenošanas laikā;</w:t>
      </w:r>
    </w:p>
    <w:p w:rsidP="00000000" w:rsidRDefault="00000000" w:rsidR="00000000" w:rsidRPr="00000000" w:rsidDel="00000000">
      <w:pPr>
        <w:numPr>
          <w:ilvl w:val="1"/>
          <w:numId w:val="6"/>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citas ar pasākumu organizēšanu un īstenošanu saistītās izmaksas.</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19.2. </w:t>
      </w:r>
      <w:r w:rsidR="00000000" w:rsidRPr="00000000" w:rsidDel="00000000">
        <w:rPr>
          <w:rtl w:val="0"/>
        </w:rPr>
        <w:t xml:space="preserve">apakšpunktā</w:t>
      </w:r>
      <w:r w:rsidR="00000000" w:rsidRPr="00000000" w:rsidDel="00000000">
        <w:rPr>
          <w:rtl w:val="0"/>
        </w:rPr>
        <w:t xml:space="preserve"> minētās netiešās attiecināmās izmaksas plāno kā vienu izmaksu pozīciju, piemērojot netiešo izmaksu vienoto likmi 15 procentu apmērā no šo noteikumu </w:t>
      </w:r>
      <w:r w:rsidR="00000000" w:rsidRPr="00000000" w:rsidDel="00000000">
        <w:rPr>
          <w:rtl w:val="0"/>
        </w:rPr>
        <w:t xml:space="preserve">20.1. </w:t>
      </w:r>
      <w:r w:rsidR="00000000" w:rsidRPr="00000000" w:rsidDel="00000000">
        <w:rPr>
          <w:rtl w:val="0"/>
        </w:rPr>
        <w:t xml:space="preserve">apakšpunktā</w:t>
      </w:r>
      <w:r w:rsidR="00000000" w:rsidRPr="00000000" w:rsidDel="00000000">
        <w:rPr>
          <w:rtl w:val="0"/>
        </w:rPr>
        <w:t xml:space="preserve"> minētajām tiešajām attiecināmajām personāla izmaksām.</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 </w:t>
      </w:r>
      <w:r w:rsidR="00000000" w:rsidRPr="00000000" w:rsidDel="00000000">
        <w:rPr>
          <w:rtl w:val="0"/>
        </w:rPr>
        <w:t xml:space="preserve">Pievienotās vērtības nodoklis, kas tiešā veidā saistīts ar projektu, uzskatāms par attiecināmām izmaksām saskaņā ar regulas </w:t>
      </w:r>
      <w:r w:rsidR="00000000" w:rsidRPr="00000000" w:rsidDel="00000000">
        <w:rPr>
          <w:rtl w:val="0"/>
        </w:rPr>
        <w:t xml:space="preserve">2021/1060</w:t>
      </w:r>
      <w:r w:rsidR="00000000" w:rsidRPr="00000000" w:rsidDel="00000000">
        <w:rPr>
          <w:rtl w:val="0"/>
        </w:rPr>
        <w:t xml:space="preserve"> 64. panta 1. punkta “c” apakšpunktā ietvertajiem nosacījumiem.</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 </w:t>
      </w:r>
      <w:r w:rsidR="00000000" w:rsidRPr="00000000" w:rsidDel="00000000">
        <w:rPr>
          <w:rtl w:val="0"/>
        </w:rPr>
        <w:t xml:space="preserve">Izmaksas ir attiecināmas no brīža, kad tiek noslēgta vienošanās par projekta īstenošanu. Projekta iesniegumā neiekļauj un finansējumu nepiešķir pabeigtām darbībām.</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VII.</w:t>
      </w:r>
      <w:r w:rsidR="00000000" w:rsidRPr="00000000" w:rsidDel="00000000">
        <w:rPr>
          <w:rtl w:val="0"/>
        </w:rPr>
        <w:t xml:space="preserve"> </w:t>
      </w:r>
      <w:r w:rsidR="00000000" w:rsidRPr="00000000" w:rsidDel="00000000">
        <w:rPr>
          <w:rStyle w:val="paragraph_header"/>
          <w:b w:val="1"/>
          <w:rtl w:val="0"/>
        </w:rPr>
        <w:t xml:space="preserve">Pasākuma īstenošanas nosacījumi</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 </w:t>
      </w:r>
      <w:r w:rsidR="00000000" w:rsidRPr="00000000" w:rsidDel="00000000">
        <w:rPr>
          <w:rtl w:val="0"/>
        </w:rPr>
        <w:t xml:space="preserve">Finansējuma saņēmējs projektu īsteno saskaņā ar noslēgto vienošanos par projekta īstenošanu, bet ne ilgāk kā līdz 2029. gada 31. decembrim.</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 </w:t>
      </w:r>
      <w:r w:rsidR="00000000" w:rsidRPr="00000000" w:rsidDel="00000000">
        <w:rPr>
          <w:rtl w:val="0"/>
        </w:rPr>
        <w:t xml:space="preserve">Finansējuma saņēmējs:</w:t>
      </w:r>
    </w:p>
    <w:p w:rsidP="00000000" w:rsidRDefault="00000000" w:rsidR="00000000" w:rsidRPr="00000000" w:rsidDel="00000000">
      <w:pPr>
        <w:numPr>
          <w:ilvl w:val="1"/>
          <w:numId w:val="7"/>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uzkrāj datus par projekta ietekmi uz šo noteikumu </w:t>
      </w:r>
      <w:r w:rsidR="00000000" w:rsidRPr="00000000" w:rsidDel="00000000">
        <w:rPr>
          <w:rtl w:val="0"/>
        </w:rPr>
        <w:t xml:space="preserve">8. </w:t>
      </w:r>
      <w:r w:rsidR="00000000" w:rsidRPr="00000000" w:rsidDel="00000000">
        <w:rPr>
          <w:rtl w:val="0"/>
        </w:rPr>
        <w:t xml:space="preserve">punktā</w:t>
      </w:r>
      <w:r w:rsidR="00000000" w:rsidRPr="00000000" w:rsidDel="00000000">
        <w:rPr>
          <w:rtl w:val="0"/>
        </w:rPr>
        <w:t xml:space="preserve"> minētajiem rādītājiem;</w:t>
      </w:r>
    </w:p>
    <w:p w:rsidP="00000000" w:rsidRDefault="00000000" w:rsidR="00000000" w:rsidRPr="00000000" w:rsidDel="00000000">
      <w:pPr>
        <w:numPr>
          <w:ilvl w:val="1"/>
          <w:numId w:val="7"/>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ievēro horizontālo principu "Vienlīdzība, iekļaušana, nediskriminācija un pamattiesību ievērošana" un uzkrāj datus par projekta ietekmi uz horizontālo principu rādītājiem, ja attiecināms:</w:t>
      </w:r>
    </w:p>
    <w:p w:rsidP="00000000" w:rsidRDefault="00000000" w:rsidR="00000000" w:rsidRPr="00000000" w:rsidDel="00000000">
      <w:pPr>
        <w:numPr>
          <w:ilvl w:val="2"/>
          <w:numId w:val="7"/>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izstrādāto vai pilnveidoto stratēģiju, izglītības programmu, metodisko līdzekļu, vadlīniju, mācību līdzekļu (tai skaitā digitālo) mediju kampaņu, semināru un komunikācijas pasākumu skaits, kuros integrēti jautājumi par dzimumu līdztiesību, personu ar invaliditāti vienlīdzīgām iespējām, diskriminācijas novēršanu vecuma, etniskās piederības un citu iemeslu dēļ, kā arī pamattiesību jautājumi, tostarp par tiesiskajiem un praktiskajiem aspektiem;</w:t>
      </w:r>
    </w:p>
    <w:p w:rsidP="00000000" w:rsidRDefault="00000000" w:rsidR="00000000" w:rsidRPr="00000000" w:rsidDel="00000000">
      <w:pPr>
        <w:numPr>
          <w:ilvl w:val="2"/>
          <w:numId w:val="7"/>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mediju kampaņu, semināru, konferenču  un komunikācijas pasākumu skaits, kuros  sabiedrības informēšanai tika nodrošināti cilvēkiem ar dažāda veida funkcionāliem traucējumiem piekļūstami formāti (piemēram, tulkošana zīmju valodā, subtitrēšana, reāllaika transkripcija, raidījumu un pasākumu ieraksti);</w:t>
      </w:r>
    </w:p>
    <w:p w:rsidP="00000000" w:rsidRDefault="00000000" w:rsidR="00000000" w:rsidRPr="00000000" w:rsidDel="00000000">
      <w:pPr>
        <w:numPr>
          <w:ilvl w:val="1"/>
          <w:numId w:val="7"/>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nodrošina komunikācijas un vizuālās identitātes prasības saskaņā ar regulas </w:t>
      </w:r>
      <w:r w:rsidR="00000000" w:rsidRPr="00000000" w:rsidDel="00000000">
        <w:rPr>
          <w:rtl w:val="0"/>
        </w:rPr>
        <w:t xml:space="preserve">2021/1060</w:t>
      </w:r>
      <w:r w:rsidR="00000000" w:rsidRPr="00000000" w:rsidDel="00000000">
        <w:rPr>
          <w:rtl w:val="0"/>
        </w:rPr>
        <w:t xml:space="preserve"> 47. un 50. pantu, un normatīvajiem aktiem par kārtību, kādā Eiropas Savienības fondu vadībā iesaistītās institūcijas nodrošina šo fondu ieviešanu 2021.–2027.gada plānošanas periodā;</w:t>
      </w:r>
    </w:p>
    <w:p w:rsidP="00000000" w:rsidRDefault="00000000" w:rsidR="00000000" w:rsidRPr="00000000" w:rsidDel="00000000">
      <w:pPr>
        <w:numPr>
          <w:ilvl w:val="1"/>
          <w:numId w:val="7"/>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un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minētais sadarbības partneris (ja attiecināms) nodrošina interešu konflikta neesību saskaņā ar Eiropas Parlamenta un Padomes 2018. gada 18. jūlija Regulas (ES, Euratom) </w:t>
      </w:r>
      <w:r w:rsidR="00000000" w:rsidRPr="00000000" w:rsidDel="00000000">
        <w:rPr>
          <w:rtl w:val="0"/>
        </w:rPr>
        <w:t xml:space="preserve">2018/1046</w:t>
      </w:r>
      <w:r w:rsidR="00000000" w:rsidRPr="00000000" w:rsidDel="00000000">
        <w:rPr>
          <w:rtl w:val="0"/>
        </w:rPr>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 61. panta prasībām, kā arī paraksta interešu konflikta neesības apliecinājumu.</w:t>
      </w:r>
    </w:p>
    <w:p w:rsidP="00000000" w:rsidRDefault="00000000" w:rsidR="00000000" w:rsidRPr="00000000" w:rsidDel="00000000">
      <w:pPr>
        <w:numPr>
          <w:ilvl w:val="1"/>
          <w:numId w:val="7"/>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sniedz sadarbības iestādei informāciju par šo noteikumu </w:t>
      </w:r>
      <w:r w:rsidR="00000000" w:rsidRPr="00000000" w:rsidDel="00000000">
        <w:rPr>
          <w:rtl w:val="0"/>
        </w:rPr>
        <w:t xml:space="preserve">25.2. </w:t>
      </w:r>
      <w:r w:rsidR="00000000" w:rsidRPr="00000000" w:rsidDel="00000000">
        <w:rPr>
          <w:rtl w:val="0"/>
        </w:rPr>
        <w:t xml:space="preserve">apakšpunktā</w:t>
      </w:r>
      <w:r w:rsidR="00000000" w:rsidRPr="00000000" w:rsidDel="00000000">
        <w:rPr>
          <w:rtl w:val="0"/>
        </w:rPr>
        <w:t xml:space="preserve"> minētajiem horizontālo principu rādītājiem vienlaikus ar informāciju par šo noteikumu </w:t>
      </w:r>
      <w:r w:rsidR="00000000" w:rsidRPr="00000000" w:rsidDel="00000000">
        <w:rPr>
          <w:rtl w:val="0"/>
        </w:rPr>
        <w:t xml:space="preserve">8.2. </w:t>
      </w:r>
      <w:r w:rsidR="00000000" w:rsidRPr="00000000" w:rsidDel="00000000">
        <w:rPr>
          <w:rtl w:val="0"/>
        </w:rPr>
        <w:t xml:space="preserve">apakšpunktā</w:t>
      </w:r>
      <w:r w:rsidR="00000000" w:rsidRPr="00000000" w:rsidDel="00000000">
        <w:rPr>
          <w:rtl w:val="0"/>
        </w:rPr>
        <w:t xml:space="preserve"> minēto rezultāta rādītāja vērtību sasniegšanu.</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 </w:t>
      </w:r>
      <w:r w:rsidR="00000000" w:rsidRPr="00000000" w:rsidDel="00000000">
        <w:rPr>
          <w:rtl w:val="0"/>
        </w:rPr>
        <w:t xml:space="preserve">Finansējuma saņēmējs nodrošina, lai pasākuma ietvaros plānotais atbalsts nepārklātos ar citiem valsts un ārvalstu finanšu atbalsta instrumentiem.</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27.</w:t>
      </w:r>
      <w:r w:rsidR="00000000" w:rsidRPr="00000000" w:rsidDel="00000000">
        <w:rPr>
          <w:rtl w:val="0"/>
        </w:rPr>
        <w:t xml:space="preserve"> </w:t>
      </w:r>
      <w:r w:rsidR="00000000" w:rsidRPr="00000000" w:rsidDel="00000000">
        <w:rPr>
          <w:rtl w:val="0"/>
        </w:rPr>
        <w:t xml:space="preserve">Finansējuma saņēmējs ne retāk kā reizi sešos mēnešos savā tīmekļvietnē ievieto aktuālo informāciju par projekta īstenošanu.</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28.</w:t>
      </w:r>
      <w:r w:rsidR="00000000" w:rsidRPr="00000000" w:rsidDel="00000000">
        <w:rPr>
          <w:rtl w:val="0"/>
        </w:rPr>
        <w:t xml:space="preserve"> </w:t>
      </w:r>
      <w:r w:rsidR="00000000" w:rsidRPr="00000000" w:rsidDel="00000000">
        <w:rPr>
          <w:rtl w:val="0"/>
        </w:rPr>
        <w:t xml:space="preserve">Finansējuma saņēmējs projekta īstenošanai nepieciešamo preču un pakalpojumu iegādi veic saskaņā ar normatīvajiem aktiem publisko iepirkumu jomā, īstenojot atklātu, pārredzamu, nediskriminējošu un konkurenci nodrošinošu konkursa procedūru. Atbalstāma ir vides prasību integrācija preču un pakalpojumu iepirkumos, kā arī vides piekļūstamības un izmantojamības nodrošināšana - zaļais publiskais iepirkums - un, kur tas ir attiecināms un atbilstošs ieguldījumu specifikai, īsteno sociāli atbildīgu iepirkumu.</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Borders/>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Borders/>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24-TA-613</w:t>
    </w:r>
    <w:r>
      <w:br/>
    </w:r>
    <w:r w:rsidR="00000000" w:rsidRPr="00000000" w:rsidDel="00000000">
      <w:rPr>
        <w:rtl w:val="0"/>
      </w:rPr>
      <w:t xml:space="preserve">Izdrukāts 14.05.2024. 14.19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24-TA-613</w:t>
    </w:r>
    <w:r>
      <w:br/>
    </w:r>
    <w:r w:rsidR="00000000" w:rsidRPr="00000000" w:rsidDel="00000000">
      <w:rPr>
        <w:rtl w:val="0"/>
      </w:rPr>
      <w:t xml:space="preserve">Izdrukāts 14.05.2024. 14.19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2">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3">
    <w:multiLevelType w:val="hybridMultilevel"/>
    <w:lvl w:ilvl="0">
      <w:start w:val="1"/>
      <w:numFmt w:val="bullet"/>
      <w:lvlRestart w:val="1"/>
      <w:lvlText w:val=""/>
      <w:lvlJc w:val="left"/>
      <w:pPr>
        <w:ind w:left="0" w:firstLine="705"/>
      </w:pPr>
      <w:rPr>
        <w:u w:val="none"/>
      </w:rPr>
    </w:lvl>
  </w:abstractNum>
  <w:abstractNum w:abstractNumId="4">
    <w:multiLevelType w:val="hybridMultilevel"/>
    <w:lvl w:ilvl="0">
      <w:start w:val="1"/>
      <w:numFmt w:val="bullet"/>
      <w:lvlRestart w:val="1"/>
      <w:lvlText w:val=""/>
      <w:lvlJc w:val="left"/>
      <w:pPr>
        <w:ind w:left="0" w:firstLine="705"/>
      </w:pPr>
      <w:rPr>
        <w:u w:val="none"/>
      </w:rPr>
    </w:lvl>
  </w:abstractNum>
  <w:abstractNum w:abstractNumId="5">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6">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7">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oter" Target="footer2.xml"/><Relationship Id="rId7" Type="http://schemas.openxmlformats.org/officeDocument/2006/relationships/header" Target="header1.xml"/><Relationship Id="rId2" Type="http://schemas.openxmlformats.org/officeDocument/2006/relationships/footer" Target="footer1.xml"/><Relationship Id="rId1"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settings" Target="setting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20D1C-FC95-42B3-BFF0-4547189144C0}"/>
</file>

<file path=customXml/itemProps2.xml><?xml version="1.0" encoding="utf-8"?>
<ds:datastoreItem xmlns:ds="http://schemas.openxmlformats.org/officeDocument/2006/customXml" ds:itemID="{0BF89F1C-2928-4E20-A5D4-5C60E7891B1E}"/>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noteikumu_projekts_24-TA-613.docx</dc:title>
</cp:coreProperties>
</file>

<file path=docProps/custom.xml><?xml version="1.0" encoding="utf-8"?>
<Properties xmlns="http://schemas.openxmlformats.org/officeDocument/2006/custom-properties" xmlns:vt="http://schemas.openxmlformats.org/officeDocument/2006/docPropsVTypes"/>
</file>