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C3B64" w14:textId="1CA4C8A6" w:rsidR="00137F01" w:rsidRPr="00A57181" w:rsidRDefault="00137F01" w:rsidP="00137F01">
      <w:pPr>
        <w:pStyle w:val="Standard"/>
        <w:jc w:val="center"/>
        <w:rPr>
          <w:b/>
          <w:szCs w:val="24"/>
        </w:rPr>
      </w:pPr>
      <w:r w:rsidRPr="00A57181">
        <w:rPr>
          <w:b/>
          <w:szCs w:val="24"/>
        </w:rPr>
        <w:t xml:space="preserve">Izziņa ar saņemtajiem komentāriem par Eiropas Savienības fondu 2021.–2027.gada plānošanas perioda </w:t>
      </w:r>
    </w:p>
    <w:p w14:paraId="73B12ACC" w14:textId="25D29CFC" w:rsidR="00137F01" w:rsidRPr="00A57181" w:rsidRDefault="00DB1269" w:rsidP="00A57181">
      <w:pPr>
        <w:pStyle w:val="Standard"/>
        <w:jc w:val="center"/>
        <w:rPr>
          <w:b/>
          <w:szCs w:val="24"/>
        </w:rPr>
      </w:pPr>
      <w:sdt>
        <w:sdtPr>
          <w:rPr>
            <w:b/>
            <w:szCs w:val="24"/>
          </w:rPr>
          <w:id w:val="-1016078257"/>
          <w:placeholder>
            <w:docPart w:val="DefaultPlaceholder_-1854013437"/>
          </w:placeholder>
          <w:date w:fullDate="2024-06-20T00:00:00Z">
            <w:dateFormat w:val="dd.MM.yyyy"/>
            <w:lid w:val="lv-LV"/>
            <w:storeMappedDataAs w:val="dateTime"/>
            <w:calendar w:val="gregorian"/>
          </w:date>
        </w:sdtPr>
        <w:sdtContent>
          <w:r w:rsidR="00941BB3">
            <w:rPr>
              <w:b/>
              <w:szCs w:val="24"/>
            </w:rPr>
            <w:t>20.06.2024</w:t>
          </w:r>
        </w:sdtContent>
      </w:sdt>
      <w:r w:rsidR="008B4943">
        <w:rPr>
          <w:b/>
          <w:szCs w:val="24"/>
        </w:rPr>
        <w:t xml:space="preserve">. </w:t>
      </w:r>
      <w:r w:rsidR="00137F01" w:rsidRPr="00A57181">
        <w:rPr>
          <w:b/>
          <w:szCs w:val="24"/>
        </w:rPr>
        <w:t xml:space="preserve">apakškomitejas sēdē izskatāmajiem </w:t>
      </w:r>
      <w:r w:rsidR="00B24F5A" w:rsidRPr="00B24F5A">
        <w:rPr>
          <w:b/>
          <w:szCs w:val="24"/>
        </w:rPr>
        <w:t xml:space="preserve">Vides aizsardzības un reģionālās attīstības </w:t>
      </w:r>
      <w:r w:rsidR="00A57181" w:rsidRPr="00A57181">
        <w:rPr>
          <w:b/>
          <w:szCs w:val="24"/>
        </w:rPr>
        <w:t xml:space="preserve">ministrijas </w:t>
      </w:r>
      <w:r w:rsidR="00B24F5A" w:rsidRPr="00B24F5A">
        <w:rPr>
          <w:b/>
          <w:szCs w:val="24"/>
        </w:rPr>
        <w:t xml:space="preserve">4.2.4.3.pasākuma “Digitālo prasmju pilnveide” </w:t>
      </w:r>
      <w:r w:rsidR="00137F01"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2694"/>
        <w:gridCol w:w="5112"/>
        <w:gridCol w:w="2790"/>
        <w:gridCol w:w="2790"/>
      </w:tblGrid>
      <w:tr w:rsidR="00A57181" w:rsidRPr="000054D9" w14:paraId="1DC85C06" w14:textId="77777777" w:rsidTr="00941BB3">
        <w:tc>
          <w:tcPr>
            <w:tcW w:w="562" w:type="dxa"/>
          </w:tcPr>
          <w:p w14:paraId="4BB141E3" w14:textId="76725B81" w:rsidR="00A57181" w:rsidRPr="000054D9" w:rsidRDefault="00A57181" w:rsidP="00137F01">
            <w:pPr>
              <w:pStyle w:val="Standard"/>
              <w:jc w:val="center"/>
              <w:rPr>
                <w:rFonts w:cs="Times New Roman"/>
                <w:b/>
                <w:bCs/>
                <w:sz w:val="22"/>
              </w:rPr>
            </w:pPr>
            <w:r w:rsidRPr="000054D9">
              <w:rPr>
                <w:rFonts w:cs="Times New Roman"/>
                <w:b/>
                <w:bCs/>
                <w:sz w:val="22"/>
              </w:rPr>
              <w:t>Nr.</w:t>
            </w:r>
          </w:p>
        </w:tc>
        <w:tc>
          <w:tcPr>
            <w:tcW w:w="2694" w:type="dxa"/>
          </w:tcPr>
          <w:p w14:paraId="6A3984BE" w14:textId="1C6C92FE" w:rsidR="00A57181" w:rsidRPr="000054D9" w:rsidRDefault="00A57181" w:rsidP="00137F01">
            <w:pPr>
              <w:pStyle w:val="Standard"/>
              <w:jc w:val="center"/>
              <w:rPr>
                <w:rFonts w:cs="Times New Roman"/>
                <w:b/>
                <w:bCs/>
                <w:sz w:val="22"/>
              </w:rPr>
            </w:pPr>
            <w:r w:rsidRPr="000054D9">
              <w:rPr>
                <w:rFonts w:cs="Times New Roman"/>
                <w:b/>
                <w:bCs/>
                <w:sz w:val="22"/>
              </w:rPr>
              <w:t>Materiālu esošā redakcija</w:t>
            </w:r>
          </w:p>
        </w:tc>
        <w:tc>
          <w:tcPr>
            <w:tcW w:w="5112" w:type="dxa"/>
          </w:tcPr>
          <w:p w14:paraId="3BA660B7" w14:textId="17AF2DD9" w:rsidR="00A57181" w:rsidRPr="000054D9" w:rsidRDefault="00A57181" w:rsidP="00A57181">
            <w:pPr>
              <w:pStyle w:val="Standard"/>
              <w:jc w:val="center"/>
              <w:rPr>
                <w:rFonts w:cs="Times New Roman"/>
                <w:b/>
                <w:bCs/>
                <w:sz w:val="22"/>
              </w:rPr>
            </w:pPr>
            <w:r w:rsidRPr="000054D9">
              <w:rPr>
                <w:rFonts w:cs="Times New Roman"/>
                <w:b/>
                <w:bCs/>
                <w:sz w:val="22"/>
              </w:rPr>
              <w:t>AK dalībnieka komentārs</w:t>
            </w:r>
          </w:p>
        </w:tc>
        <w:tc>
          <w:tcPr>
            <w:tcW w:w="2790" w:type="dxa"/>
          </w:tcPr>
          <w:p w14:paraId="78D91156" w14:textId="52B5B91F" w:rsidR="00A57181" w:rsidRPr="000054D9" w:rsidRDefault="00A57181" w:rsidP="00137F01">
            <w:pPr>
              <w:pStyle w:val="Standard"/>
              <w:jc w:val="center"/>
              <w:rPr>
                <w:rFonts w:cs="Times New Roman"/>
                <w:b/>
                <w:bCs/>
                <w:sz w:val="22"/>
              </w:rPr>
            </w:pPr>
            <w:r w:rsidRPr="000054D9">
              <w:rPr>
                <w:rFonts w:cs="Times New Roman"/>
                <w:b/>
                <w:bCs/>
                <w:sz w:val="22"/>
              </w:rPr>
              <w:t>AI viedoklis</w:t>
            </w:r>
          </w:p>
        </w:tc>
        <w:tc>
          <w:tcPr>
            <w:tcW w:w="2790" w:type="dxa"/>
          </w:tcPr>
          <w:p w14:paraId="3A7B0DAC" w14:textId="0C266D42" w:rsidR="00A57181" w:rsidRPr="000054D9" w:rsidRDefault="00A57181" w:rsidP="00137F01">
            <w:pPr>
              <w:pStyle w:val="Standard"/>
              <w:jc w:val="center"/>
              <w:rPr>
                <w:rFonts w:cs="Times New Roman"/>
                <w:b/>
                <w:bCs/>
                <w:sz w:val="22"/>
              </w:rPr>
            </w:pPr>
            <w:r w:rsidRPr="000054D9">
              <w:rPr>
                <w:rFonts w:cs="Times New Roman"/>
                <w:b/>
                <w:bCs/>
                <w:sz w:val="22"/>
              </w:rPr>
              <w:t>Gala redakcija</w:t>
            </w:r>
          </w:p>
        </w:tc>
      </w:tr>
      <w:tr w:rsidR="00A57181" w:rsidRPr="000054D9" w14:paraId="380416C8" w14:textId="77777777" w:rsidTr="00941BB3">
        <w:tc>
          <w:tcPr>
            <w:tcW w:w="562" w:type="dxa"/>
          </w:tcPr>
          <w:p w14:paraId="2A7F122C" w14:textId="77777777" w:rsidR="00A57181" w:rsidRPr="000054D9" w:rsidRDefault="00A57181" w:rsidP="00137F01">
            <w:pPr>
              <w:pStyle w:val="Standard"/>
              <w:jc w:val="center"/>
              <w:rPr>
                <w:rFonts w:cs="Times New Roman"/>
                <w:b/>
                <w:bCs/>
                <w:sz w:val="22"/>
              </w:rPr>
            </w:pPr>
          </w:p>
        </w:tc>
        <w:tc>
          <w:tcPr>
            <w:tcW w:w="2694" w:type="dxa"/>
          </w:tcPr>
          <w:p w14:paraId="67E8DA1B" w14:textId="393A3207" w:rsidR="00A57181" w:rsidRPr="000054D9" w:rsidRDefault="00A57181" w:rsidP="00137F01">
            <w:pPr>
              <w:pStyle w:val="Standard"/>
              <w:jc w:val="center"/>
              <w:rPr>
                <w:rFonts w:cs="Times New Roman"/>
                <w:b/>
                <w:bCs/>
                <w:sz w:val="22"/>
              </w:rPr>
            </w:pPr>
            <w:r w:rsidRPr="000054D9">
              <w:rPr>
                <w:rFonts w:cs="Times New Roman"/>
                <w:b/>
                <w:bCs/>
                <w:sz w:val="22"/>
              </w:rPr>
              <w:t>1</w:t>
            </w:r>
          </w:p>
        </w:tc>
        <w:tc>
          <w:tcPr>
            <w:tcW w:w="5112" w:type="dxa"/>
          </w:tcPr>
          <w:p w14:paraId="6B041985" w14:textId="089E011A" w:rsidR="00A57181" w:rsidRPr="000054D9" w:rsidRDefault="00A57181" w:rsidP="00137F01">
            <w:pPr>
              <w:pStyle w:val="Standard"/>
              <w:jc w:val="center"/>
              <w:rPr>
                <w:rFonts w:cs="Times New Roman"/>
                <w:b/>
                <w:bCs/>
                <w:sz w:val="22"/>
              </w:rPr>
            </w:pPr>
            <w:r w:rsidRPr="000054D9">
              <w:rPr>
                <w:rFonts w:cs="Times New Roman"/>
                <w:b/>
                <w:bCs/>
                <w:sz w:val="22"/>
              </w:rPr>
              <w:t>2</w:t>
            </w:r>
          </w:p>
        </w:tc>
        <w:tc>
          <w:tcPr>
            <w:tcW w:w="2790" w:type="dxa"/>
          </w:tcPr>
          <w:p w14:paraId="1753E9BF" w14:textId="309CEBA8" w:rsidR="00A57181" w:rsidRPr="000054D9" w:rsidRDefault="00A57181" w:rsidP="00137F01">
            <w:pPr>
              <w:pStyle w:val="Standard"/>
              <w:jc w:val="center"/>
              <w:rPr>
                <w:rFonts w:cs="Times New Roman"/>
                <w:b/>
                <w:bCs/>
                <w:sz w:val="22"/>
              </w:rPr>
            </w:pPr>
            <w:r w:rsidRPr="000054D9">
              <w:rPr>
                <w:rFonts w:cs="Times New Roman"/>
                <w:b/>
                <w:bCs/>
                <w:sz w:val="22"/>
              </w:rPr>
              <w:t>3</w:t>
            </w:r>
          </w:p>
        </w:tc>
        <w:tc>
          <w:tcPr>
            <w:tcW w:w="2790" w:type="dxa"/>
          </w:tcPr>
          <w:p w14:paraId="093B038E" w14:textId="0F096221" w:rsidR="00A57181" w:rsidRPr="000054D9" w:rsidRDefault="00A57181" w:rsidP="00137F01">
            <w:pPr>
              <w:pStyle w:val="Standard"/>
              <w:jc w:val="center"/>
              <w:rPr>
                <w:rFonts w:cs="Times New Roman"/>
                <w:b/>
                <w:bCs/>
                <w:sz w:val="22"/>
              </w:rPr>
            </w:pPr>
            <w:r w:rsidRPr="000054D9">
              <w:rPr>
                <w:rFonts w:cs="Times New Roman"/>
                <w:b/>
                <w:bCs/>
                <w:sz w:val="22"/>
              </w:rPr>
              <w:t>3</w:t>
            </w:r>
          </w:p>
        </w:tc>
      </w:tr>
      <w:tr w:rsidR="00A57181" w:rsidRPr="000054D9" w14:paraId="5F51158A" w14:textId="77777777" w:rsidTr="00340749">
        <w:tc>
          <w:tcPr>
            <w:tcW w:w="13948" w:type="dxa"/>
            <w:gridSpan w:val="5"/>
            <w:shd w:val="clear" w:color="auto" w:fill="C5E0B3" w:themeFill="accent6" w:themeFillTint="66"/>
          </w:tcPr>
          <w:p w14:paraId="5E6EE4EC" w14:textId="30665F84" w:rsidR="00A57181" w:rsidRPr="000054D9" w:rsidRDefault="00A57181" w:rsidP="00A57181">
            <w:pPr>
              <w:pStyle w:val="Standard"/>
              <w:jc w:val="both"/>
              <w:rPr>
                <w:rFonts w:cs="Times New Roman"/>
                <w:b/>
                <w:bCs/>
                <w:sz w:val="22"/>
              </w:rPr>
            </w:pPr>
            <w:r w:rsidRPr="000054D9">
              <w:rPr>
                <w:rFonts w:cs="Times New Roman"/>
                <w:b/>
                <w:bCs/>
                <w:sz w:val="22"/>
              </w:rPr>
              <w:t>Par projektu iesniegumu vērtēšanas kritērijiem</w:t>
            </w:r>
          </w:p>
        </w:tc>
      </w:tr>
      <w:tr w:rsidR="00A57181" w:rsidRPr="000054D9" w14:paraId="6D4B6E25" w14:textId="77777777" w:rsidTr="00941BB3">
        <w:tc>
          <w:tcPr>
            <w:tcW w:w="562" w:type="dxa"/>
          </w:tcPr>
          <w:p w14:paraId="44B426E0" w14:textId="77777777" w:rsidR="00A57181" w:rsidRPr="000054D9" w:rsidRDefault="00A57181" w:rsidP="00A57181">
            <w:pPr>
              <w:pStyle w:val="Standard"/>
              <w:numPr>
                <w:ilvl w:val="0"/>
                <w:numId w:val="13"/>
              </w:numPr>
              <w:ind w:hanging="1049"/>
              <w:jc w:val="center"/>
              <w:rPr>
                <w:rFonts w:cs="Times New Roman"/>
                <w:b/>
                <w:bCs/>
                <w:sz w:val="22"/>
              </w:rPr>
            </w:pPr>
          </w:p>
        </w:tc>
        <w:tc>
          <w:tcPr>
            <w:tcW w:w="2694" w:type="dxa"/>
          </w:tcPr>
          <w:p w14:paraId="4E442DC0" w14:textId="77777777" w:rsidR="00A57181" w:rsidRPr="000054D9" w:rsidRDefault="00A57181" w:rsidP="00340749">
            <w:pPr>
              <w:pStyle w:val="Standard"/>
              <w:jc w:val="both"/>
              <w:rPr>
                <w:rFonts w:cs="Times New Roman"/>
                <w:b/>
                <w:bCs/>
                <w:sz w:val="22"/>
              </w:rPr>
            </w:pPr>
          </w:p>
        </w:tc>
        <w:tc>
          <w:tcPr>
            <w:tcW w:w="5112" w:type="dxa"/>
          </w:tcPr>
          <w:p w14:paraId="30B4317C" w14:textId="6E2B2104" w:rsidR="00F620AD" w:rsidRPr="00C477A2" w:rsidRDefault="00F620AD" w:rsidP="00F620AD">
            <w:pPr>
              <w:pStyle w:val="Standard"/>
              <w:jc w:val="both"/>
              <w:rPr>
                <w:rFonts w:cs="Times New Roman"/>
                <w:b/>
                <w:bCs/>
                <w:sz w:val="22"/>
              </w:rPr>
            </w:pPr>
            <w:r w:rsidRPr="00C477A2">
              <w:rPr>
                <w:rFonts w:cs="Times New Roman"/>
                <w:b/>
                <w:bCs/>
                <w:sz w:val="22"/>
              </w:rPr>
              <w:t>Centrālā finanšu un līgumu aģentūra</w:t>
            </w:r>
            <w:r>
              <w:rPr>
                <w:rFonts w:cs="Times New Roman"/>
                <w:b/>
                <w:bCs/>
                <w:sz w:val="22"/>
              </w:rPr>
              <w:t>/Finanšu ministrija</w:t>
            </w:r>
          </w:p>
          <w:p w14:paraId="0BDB2B2E" w14:textId="77777777" w:rsidR="00F620AD" w:rsidRDefault="00F620AD" w:rsidP="00F620AD">
            <w:pPr>
              <w:pStyle w:val="Standard"/>
              <w:jc w:val="both"/>
              <w:rPr>
                <w:rFonts w:cs="Times New Roman"/>
                <w:sz w:val="22"/>
              </w:rPr>
            </w:pPr>
          </w:p>
          <w:p w14:paraId="289BF871" w14:textId="4E574649" w:rsidR="00F620AD" w:rsidRPr="000054D9" w:rsidRDefault="001D35CF" w:rsidP="00F620AD">
            <w:pPr>
              <w:pStyle w:val="Standard"/>
              <w:jc w:val="both"/>
              <w:rPr>
                <w:rFonts w:cs="Times New Roman"/>
                <w:sz w:val="22"/>
              </w:rPr>
            </w:pPr>
            <w:r w:rsidRPr="001D35CF">
              <w:rPr>
                <w:rFonts w:eastAsia="SimSun" w:cs="F"/>
                <w:sz w:val="22"/>
              </w:rPr>
              <w:t>Lūdzam integrēt specifiskos atbilstības kritērijus vienotajos/vienotajos izvēles kritērijos, ņemot vērā, ka tie sasaucas ar pasākuma mērķi un atbalstāmajām darbībām un tiks vērtēti 1.8. un 1.9. kritērija ietvaros, kā arī MK noteikumu projekta anotācijā atbildīgā iestāde ir izvērtējusi, ka, ņemot vērā 4.2.4.3. pasākuma ietvaros plānoto ierobežoto projektu iesniegumu atlasi, projekta iesnieguma izvērtēšanai pietiek ar vienoto kritēriju un vienoto izvēles kritēriju piemērošanu</w:t>
            </w:r>
            <w:r>
              <w:rPr>
                <w:rFonts w:eastAsia="SimSun" w:cs="F"/>
                <w:sz w:val="22"/>
              </w:rPr>
              <w:t>.</w:t>
            </w:r>
          </w:p>
        </w:tc>
        <w:tc>
          <w:tcPr>
            <w:tcW w:w="2790" w:type="dxa"/>
          </w:tcPr>
          <w:p w14:paraId="06C315EF" w14:textId="4D1A842A" w:rsidR="00D82DA5" w:rsidRDefault="00D82DA5" w:rsidP="00C70413">
            <w:pPr>
              <w:pStyle w:val="Standard"/>
              <w:jc w:val="both"/>
              <w:rPr>
                <w:rFonts w:cs="Times New Roman"/>
                <w:b/>
                <w:bCs/>
                <w:sz w:val="22"/>
              </w:rPr>
            </w:pPr>
            <w:r w:rsidRPr="00D82DA5">
              <w:rPr>
                <w:rFonts w:cs="Times New Roman"/>
                <w:b/>
                <w:bCs/>
                <w:sz w:val="22"/>
              </w:rPr>
              <w:t>Ņemts vērā</w:t>
            </w:r>
          </w:p>
          <w:p w14:paraId="0BEB6C77" w14:textId="525A1E6B" w:rsidR="00C70413" w:rsidRPr="00CC7DCB" w:rsidRDefault="00D82DA5" w:rsidP="00C70413">
            <w:pPr>
              <w:pStyle w:val="Standard"/>
              <w:jc w:val="both"/>
              <w:rPr>
                <w:rFonts w:cs="Times New Roman"/>
                <w:sz w:val="22"/>
              </w:rPr>
            </w:pPr>
            <w:r w:rsidRPr="00012102">
              <w:rPr>
                <w:rFonts w:cs="Times New Roman"/>
                <w:sz w:val="22"/>
              </w:rPr>
              <w:t xml:space="preserve">Skat. </w:t>
            </w:r>
            <w:r w:rsidRPr="00CC7DCB">
              <w:rPr>
                <w:rFonts w:cs="Times New Roman"/>
                <w:sz w:val="22"/>
              </w:rPr>
              <w:t xml:space="preserve">precizēto </w:t>
            </w:r>
            <w:r w:rsidR="00012102" w:rsidRPr="00CC7DCB">
              <w:rPr>
                <w:rFonts w:cs="Times New Roman"/>
                <w:sz w:val="22"/>
              </w:rPr>
              <w:t>1.</w:t>
            </w:r>
            <w:r w:rsidR="007C7A34" w:rsidRPr="00CC7DCB">
              <w:rPr>
                <w:rFonts w:cs="Times New Roman"/>
                <w:sz w:val="22"/>
              </w:rPr>
              <w:t>3</w:t>
            </w:r>
            <w:r w:rsidR="00012102" w:rsidRPr="00CC7DCB">
              <w:rPr>
                <w:rFonts w:cs="Times New Roman"/>
                <w:sz w:val="22"/>
              </w:rPr>
              <w:t>. un 1.</w:t>
            </w:r>
            <w:r w:rsidR="007C7A34" w:rsidRPr="00CC7DCB">
              <w:rPr>
                <w:rFonts w:cs="Times New Roman"/>
                <w:sz w:val="22"/>
              </w:rPr>
              <w:t>4</w:t>
            </w:r>
            <w:r w:rsidR="00012102" w:rsidRPr="00CC7DCB">
              <w:rPr>
                <w:rFonts w:cs="Times New Roman"/>
                <w:sz w:val="22"/>
              </w:rPr>
              <w:t>. kritērija piemērošanas skaidrojumu.</w:t>
            </w:r>
          </w:p>
          <w:p w14:paraId="0296CACA" w14:textId="28C0C045" w:rsidR="008E6810" w:rsidRPr="002C6626" w:rsidRDefault="00960BC6" w:rsidP="00C70413">
            <w:pPr>
              <w:pStyle w:val="Standard"/>
              <w:jc w:val="both"/>
              <w:rPr>
                <w:rFonts w:cs="Times New Roman"/>
                <w:sz w:val="22"/>
                <w:highlight w:val="yellow"/>
              </w:rPr>
            </w:pPr>
            <w:r w:rsidRPr="00CC7DCB">
              <w:rPr>
                <w:rFonts w:cs="Times New Roman"/>
                <w:sz w:val="22"/>
              </w:rPr>
              <w:t>4.2.4.3. pasākuma noteikumu projekts tika ievietots TAP portālā pirmreizējai saskaņošanai no š.g. 24. maija līdz 7. jūnijam</w:t>
            </w:r>
            <w:r w:rsidR="00521311" w:rsidRPr="00CC7DCB">
              <w:rPr>
                <w:rFonts w:cs="Times New Roman"/>
                <w:sz w:val="22"/>
              </w:rPr>
              <w:t xml:space="preserve"> </w:t>
            </w:r>
            <w:r w:rsidR="00A06E2A" w:rsidRPr="00CC7DCB">
              <w:rPr>
                <w:rFonts w:cs="Times New Roman"/>
                <w:sz w:val="22"/>
              </w:rPr>
              <w:t>(</w:t>
            </w:r>
            <w:hyperlink r:id="rId9" w:history="1">
              <w:r w:rsidR="002C6626" w:rsidRPr="00CC7DCB">
                <w:rPr>
                  <w:rStyle w:val="Hyperlink"/>
                  <w:rFonts w:cs="Times New Roman"/>
                  <w:sz w:val="22"/>
                </w:rPr>
                <w:t>24-</w:t>
              </w:r>
              <w:r w:rsidR="00A06E2A" w:rsidRPr="00CC7DCB">
                <w:rPr>
                  <w:rStyle w:val="Hyperlink"/>
                  <w:rFonts w:cs="Times New Roman"/>
                  <w:sz w:val="22"/>
                </w:rPr>
                <w:t>TA-</w:t>
              </w:r>
              <w:r w:rsidR="00A74DFF" w:rsidRPr="00CC7DCB">
                <w:rPr>
                  <w:rStyle w:val="Hyperlink"/>
                  <w:rFonts w:cs="Times New Roman"/>
                  <w:sz w:val="22"/>
                </w:rPr>
                <w:t>613</w:t>
              </w:r>
            </w:hyperlink>
            <w:r w:rsidR="00A74DFF" w:rsidRPr="00CC7DCB">
              <w:rPr>
                <w:rFonts w:cs="Times New Roman"/>
                <w:sz w:val="22"/>
              </w:rPr>
              <w:t>)</w:t>
            </w:r>
            <w:r w:rsidR="00104260" w:rsidRPr="00CC7DCB">
              <w:rPr>
                <w:rFonts w:cs="Times New Roman"/>
                <w:sz w:val="22"/>
              </w:rPr>
              <w:t>,</w:t>
            </w:r>
            <w:r w:rsidR="006F167E" w:rsidRPr="00CC7DCB">
              <w:rPr>
                <w:rFonts w:cs="Times New Roman"/>
                <w:sz w:val="22"/>
              </w:rPr>
              <w:t xml:space="preserve"> kuras ietvaros s</w:t>
            </w:r>
            <w:r w:rsidR="009A1A98" w:rsidRPr="00CC7DCB">
              <w:rPr>
                <w:rFonts w:cs="Times New Roman"/>
                <w:sz w:val="22"/>
              </w:rPr>
              <w:t>aņemti iebildumi</w:t>
            </w:r>
            <w:r w:rsidR="006F167E" w:rsidRPr="00CC7DCB">
              <w:rPr>
                <w:rFonts w:cs="Times New Roman"/>
                <w:sz w:val="22"/>
              </w:rPr>
              <w:t xml:space="preserve"> un </w:t>
            </w:r>
            <w:r w:rsidR="009A1A98" w:rsidRPr="00CC7DCB">
              <w:rPr>
                <w:rFonts w:cs="Times New Roman"/>
                <w:sz w:val="22"/>
              </w:rPr>
              <w:t>priekšlikumi, kurus VARAM izvērtē</w:t>
            </w:r>
            <w:r w:rsidR="00226CCF" w:rsidRPr="00CC7DCB">
              <w:rPr>
                <w:rFonts w:cs="Times New Roman"/>
                <w:sz w:val="22"/>
              </w:rPr>
              <w:t>, precizētais MKN</w:t>
            </w:r>
            <w:r w:rsidR="00226CCF">
              <w:rPr>
                <w:rFonts w:cs="Times New Roman"/>
                <w:sz w:val="22"/>
              </w:rPr>
              <w:t xml:space="preserve"> projekts tiks virzīts atkārtotai saskaņošanai, tai skaitā</w:t>
            </w:r>
            <w:r w:rsidR="00F21FF5">
              <w:rPr>
                <w:rFonts w:cs="Times New Roman"/>
                <w:sz w:val="22"/>
              </w:rPr>
              <w:t xml:space="preserve"> </w:t>
            </w:r>
            <w:r w:rsidR="008E6810">
              <w:rPr>
                <w:rFonts w:cs="Times New Roman"/>
                <w:sz w:val="22"/>
              </w:rPr>
              <w:t xml:space="preserve">MK noteikumu projekta anotācija </w:t>
            </w:r>
            <w:r w:rsidR="001234CA">
              <w:rPr>
                <w:rFonts w:cs="Times New Roman"/>
                <w:sz w:val="22"/>
              </w:rPr>
              <w:t>tiks precizēta, norādot</w:t>
            </w:r>
            <w:r w:rsidR="000060E9">
              <w:rPr>
                <w:rFonts w:cs="Times New Roman"/>
                <w:sz w:val="22"/>
              </w:rPr>
              <w:t xml:space="preserve"> aktuālo</w:t>
            </w:r>
            <w:r w:rsidR="001234CA">
              <w:rPr>
                <w:rFonts w:cs="Times New Roman"/>
                <w:sz w:val="22"/>
              </w:rPr>
              <w:t xml:space="preserve"> informāciju par </w:t>
            </w:r>
            <w:r w:rsidR="008370B6" w:rsidRPr="008370B6">
              <w:rPr>
                <w:rFonts w:cs="Times New Roman"/>
                <w:sz w:val="22"/>
              </w:rPr>
              <w:t>projekta iesnieguma vērtēšanas kritērij</w:t>
            </w:r>
            <w:r w:rsidR="008370B6">
              <w:rPr>
                <w:rFonts w:cs="Times New Roman"/>
                <w:sz w:val="22"/>
              </w:rPr>
              <w:t>u</w:t>
            </w:r>
            <w:r w:rsidR="006969F9">
              <w:rPr>
                <w:rFonts w:cs="Times New Roman"/>
                <w:sz w:val="22"/>
              </w:rPr>
              <w:t xml:space="preserve"> </w:t>
            </w:r>
            <w:r w:rsidR="000060E9">
              <w:rPr>
                <w:rFonts w:cs="Times New Roman"/>
                <w:sz w:val="22"/>
              </w:rPr>
              <w:t>izskatīšanu un a</w:t>
            </w:r>
            <w:r w:rsidR="00053463">
              <w:rPr>
                <w:rFonts w:cs="Times New Roman"/>
                <w:sz w:val="22"/>
              </w:rPr>
              <w:t xml:space="preserve">pstiprināšanu </w:t>
            </w:r>
            <w:r w:rsidR="00504D56">
              <w:rPr>
                <w:rFonts w:cs="Times New Roman"/>
                <w:sz w:val="22"/>
              </w:rPr>
              <w:t>UK.</w:t>
            </w:r>
          </w:p>
        </w:tc>
        <w:tc>
          <w:tcPr>
            <w:tcW w:w="2790" w:type="dxa"/>
          </w:tcPr>
          <w:p w14:paraId="6DEE62A6" w14:textId="77777777" w:rsidR="00A57181" w:rsidRPr="000054D9" w:rsidRDefault="00A57181" w:rsidP="00340749">
            <w:pPr>
              <w:pStyle w:val="Standard"/>
              <w:jc w:val="both"/>
              <w:rPr>
                <w:rFonts w:cs="Times New Roman"/>
                <w:sz w:val="22"/>
              </w:rPr>
            </w:pPr>
          </w:p>
        </w:tc>
      </w:tr>
      <w:tr w:rsidR="00340749" w:rsidRPr="000054D9" w14:paraId="7D68D4D3" w14:textId="77777777">
        <w:tc>
          <w:tcPr>
            <w:tcW w:w="13948" w:type="dxa"/>
            <w:gridSpan w:val="5"/>
            <w:shd w:val="clear" w:color="auto" w:fill="C5E0B3" w:themeFill="accent6" w:themeFillTint="66"/>
          </w:tcPr>
          <w:p w14:paraId="3FC1806E" w14:textId="3935BC99" w:rsidR="00340749" w:rsidRPr="000054D9" w:rsidRDefault="00340749" w:rsidP="00340749">
            <w:pPr>
              <w:pStyle w:val="Standard"/>
              <w:jc w:val="both"/>
              <w:rPr>
                <w:rFonts w:cs="Times New Roman"/>
                <w:b/>
                <w:bCs/>
                <w:sz w:val="22"/>
              </w:rPr>
            </w:pPr>
            <w:r w:rsidRPr="000054D9">
              <w:rPr>
                <w:rFonts w:cs="Times New Roman"/>
                <w:b/>
                <w:bCs/>
                <w:sz w:val="22"/>
              </w:rPr>
              <w:t>Par kritēriju piemērošanas metodiku</w:t>
            </w:r>
          </w:p>
        </w:tc>
      </w:tr>
      <w:tr w:rsidR="004772B2" w:rsidRPr="000054D9" w14:paraId="1D9CA78A" w14:textId="77777777" w:rsidTr="00941BB3">
        <w:tc>
          <w:tcPr>
            <w:tcW w:w="562" w:type="dxa"/>
          </w:tcPr>
          <w:p w14:paraId="0C5F06A3" w14:textId="77777777" w:rsidR="004772B2" w:rsidRPr="000054D9" w:rsidRDefault="004772B2" w:rsidP="00A57181">
            <w:pPr>
              <w:pStyle w:val="Standard"/>
              <w:numPr>
                <w:ilvl w:val="0"/>
                <w:numId w:val="13"/>
              </w:numPr>
              <w:ind w:hanging="1049"/>
              <w:jc w:val="center"/>
              <w:rPr>
                <w:b/>
                <w:bCs/>
                <w:sz w:val="22"/>
              </w:rPr>
            </w:pPr>
          </w:p>
        </w:tc>
        <w:tc>
          <w:tcPr>
            <w:tcW w:w="2694" w:type="dxa"/>
          </w:tcPr>
          <w:p w14:paraId="348E4A7F" w14:textId="2F36EB0B" w:rsidR="004772B2" w:rsidRDefault="004772B2" w:rsidP="00340749">
            <w:pPr>
              <w:pStyle w:val="Standard"/>
              <w:jc w:val="both"/>
              <w:rPr>
                <w:b/>
                <w:bCs/>
                <w:sz w:val="22"/>
              </w:rPr>
            </w:pPr>
            <w:r>
              <w:rPr>
                <w:b/>
                <w:bCs/>
                <w:sz w:val="22"/>
              </w:rPr>
              <w:t>Vispārīgi</w:t>
            </w:r>
          </w:p>
        </w:tc>
        <w:tc>
          <w:tcPr>
            <w:tcW w:w="5112" w:type="dxa"/>
          </w:tcPr>
          <w:p w14:paraId="395F84A5" w14:textId="77777777" w:rsidR="004772B2" w:rsidRDefault="004772B2" w:rsidP="00340749">
            <w:pPr>
              <w:pStyle w:val="Standard"/>
              <w:jc w:val="both"/>
              <w:rPr>
                <w:b/>
                <w:bCs/>
                <w:sz w:val="22"/>
              </w:rPr>
            </w:pPr>
            <w:r>
              <w:rPr>
                <w:b/>
                <w:bCs/>
                <w:sz w:val="22"/>
              </w:rPr>
              <w:t>Veselības ministrija</w:t>
            </w:r>
          </w:p>
          <w:p w14:paraId="1888D028" w14:textId="77777777" w:rsidR="004772B2" w:rsidRDefault="004772B2" w:rsidP="00340749">
            <w:pPr>
              <w:pStyle w:val="Standard"/>
              <w:jc w:val="both"/>
              <w:rPr>
                <w:b/>
                <w:bCs/>
                <w:sz w:val="22"/>
              </w:rPr>
            </w:pPr>
          </w:p>
          <w:p w14:paraId="51CCB537" w14:textId="2326EA68" w:rsidR="004772B2" w:rsidRPr="004772B2" w:rsidRDefault="004772B2" w:rsidP="00340749">
            <w:pPr>
              <w:pStyle w:val="Standard"/>
              <w:jc w:val="both"/>
              <w:rPr>
                <w:sz w:val="22"/>
              </w:rPr>
            </w:pPr>
            <w:r w:rsidRPr="004772B2">
              <w:rPr>
                <w:sz w:val="22"/>
              </w:rPr>
              <w:t>Lūdzam projektu iesniegumu vērtēšanas metodikā precizēt vienoto kritēriju numerāciju.</w:t>
            </w:r>
          </w:p>
        </w:tc>
        <w:tc>
          <w:tcPr>
            <w:tcW w:w="2790" w:type="dxa"/>
          </w:tcPr>
          <w:p w14:paraId="3550D8F8" w14:textId="1ECFABAD" w:rsidR="004772B2" w:rsidRPr="00817FF1" w:rsidRDefault="00D12BF1" w:rsidP="00340749">
            <w:pPr>
              <w:pStyle w:val="Standard"/>
              <w:jc w:val="both"/>
              <w:rPr>
                <w:b/>
                <w:bCs/>
                <w:sz w:val="22"/>
              </w:rPr>
            </w:pPr>
            <w:r w:rsidRPr="00817FF1">
              <w:rPr>
                <w:b/>
                <w:bCs/>
                <w:sz w:val="22"/>
              </w:rPr>
              <w:t>Ņemts vērā</w:t>
            </w:r>
          </w:p>
        </w:tc>
        <w:tc>
          <w:tcPr>
            <w:tcW w:w="2790" w:type="dxa"/>
          </w:tcPr>
          <w:p w14:paraId="79A081B3" w14:textId="6BF9D571" w:rsidR="004772B2" w:rsidRPr="000054D9" w:rsidRDefault="00D12BF1" w:rsidP="00340749">
            <w:pPr>
              <w:pStyle w:val="Standard"/>
              <w:jc w:val="both"/>
              <w:rPr>
                <w:sz w:val="22"/>
              </w:rPr>
            </w:pPr>
            <w:r>
              <w:rPr>
                <w:sz w:val="22"/>
              </w:rPr>
              <w:t>Skat. precizēto</w:t>
            </w:r>
            <w:r w:rsidR="00A55919">
              <w:rPr>
                <w:sz w:val="22"/>
              </w:rPr>
              <w:t xml:space="preserve"> projekta iesnieguma vērtēšanas metodiku.</w:t>
            </w:r>
          </w:p>
        </w:tc>
      </w:tr>
      <w:tr w:rsidR="00C477A2" w:rsidRPr="000054D9" w14:paraId="02B77E25" w14:textId="77777777" w:rsidTr="00941BB3">
        <w:tc>
          <w:tcPr>
            <w:tcW w:w="562" w:type="dxa"/>
          </w:tcPr>
          <w:p w14:paraId="65D25220" w14:textId="77777777" w:rsidR="00C477A2" w:rsidRPr="000054D9" w:rsidRDefault="00C477A2" w:rsidP="00A57181">
            <w:pPr>
              <w:pStyle w:val="Standard"/>
              <w:numPr>
                <w:ilvl w:val="0"/>
                <w:numId w:val="13"/>
              </w:numPr>
              <w:ind w:hanging="1049"/>
              <w:jc w:val="center"/>
              <w:rPr>
                <w:b/>
                <w:bCs/>
                <w:sz w:val="22"/>
              </w:rPr>
            </w:pPr>
          </w:p>
        </w:tc>
        <w:tc>
          <w:tcPr>
            <w:tcW w:w="2694" w:type="dxa"/>
          </w:tcPr>
          <w:p w14:paraId="50A57CF3" w14:textId="6B092F69" w:rsidR="00C477A2" w:rsidRDefault="00C477A2" w:rsidP="00340749">
            <w:pPr>
              <w:pStyle w:val="Standard"/>
              <w:jc w:val="both"/>
              <w:rPr>
                <w:b/>
                <w:bCs/>
                <w:sz w:val="22"/>
              </w:rPr>
            </w:pPr>
            <w:r>
              <w:rPr>
                <w:b/>
                <w:bCs/>
                <w:sz w:val="22"/>
              </w:rPr>
              <w:t>Vienotie kritēriji</w:t>
            </w:r>
          </w:p>
        </w:tc>
        <w:tc>
          <w:tcPr>
            <w:tcW w:w="5112" w:type="dxa"/>
          </w:tcPr>
          <w:p w14:paraId="7F4FAA48" w14:textId="77777777" w:rsidR="00C477A2" w:rsidRDefault="00C477A2" w:rsidP="00340749">
            <w:pPr>
              <w:pStyle w:val="Standard"/>
              <w:jc w:val="both"/>
              <w:rPr>
                <w:rFonts w:cs="Times New Roman"/>
                <w:b/>
                <w:bCs/>
                <w:sz w:val="22"/>
              </w:rPr>
            </w:pPr>
            <w:r w:rsidRPr="00C477A2">
              <w:rPr>
                <w:rFonts w:cs="Times New Roman"/>
                <w:b/>
                <w:bCs/>
                <w:sz w:val="22"/>
              </w:rPr>
              <w:t>Labklājības ministrija</w:t>
            </w:r>
          </w:p>
          <w:p w14:paraId="56A2163A" w14:textId="77777777" w:rsidR="00F620AD" w:rsidRDefault="00F620AD" w:rsidP="00C477A2">
            <w:pPr>
              <w:pStyle w:val="Standard"/>
              <w:jc w:val="both"/>
              <w:rPr>
                <w:sz w:val="22"/>
              </w:rPr>
            </w:pPr>
          </w:p>
          <w:p w14:paraId="6E55A8E4" w14:textId="233BA130" w:rsidR="00C477A2" w:rsidRPr="00C477A2" w:rsidRDefault="00F620AD" w:rsidP="00C477A2">
            <w:pPr>
              <w:pStyle w:val="Standard"/>
              <w:jc w:val="both"/>
              <w:rPr>
                <w:sz w:val="22"/>
              </w:rPr>
            </w:pPr>
            <w:r>
              <w:rPr>
                <w:sz w:val="22"/>
              </w:rPr>
              <w:lastRenderedPageBreak/>
              <w:t>L</w:t>
            </w:r>
            <w:r w:rsidR="00C477A2" w:rsidRPr="00C477A2">
              <w:rPr>
                <w:sz w:val="22"/>
              </w:rPr>
              <w:t xml:space="preserve">ūdzam papildināt projektu iesniegumu vērtēšanas kritēriju piemērošanas metodikas sadaļu "1. Vienotie kritēriji" ar šādu kritēriju: </w:t>
            </w:r>
          </w:p>
          <w:p w14:paraId="673D223F" w14:textId="77777777" w:rsidR="00C477A2" w:rsidRPr="00C477A2" w:rsidRDefault="00C477A2" w:rsidP="00C477A2">
            <w:pPr>
              <w:pStyle w:val="Standard"/>
              <w:jc w:val="both"/>
              <w:rPr>
                <w:sz w:val="22"/>
              </w:rPr>
            </w:pPr>
            <w:r w:rsidRPr="00C477A2">
              <w:rPr>
                <w:sz w:val="22"/>
              </w:rPr>
              <w:t xml:space="preserve">"Projekta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 </w:t>
            </w:r>
          </w:p>
          <w:p w14:paraId="2F57A8A0" w14:textId="77777777" w:rsidR="00C477A2" w:rsidRPr="00C477A2" w:rsidRDefault="00C477A2" w:rsidP="00C477A2">
            <w:pPr>
              <w:pStyle w:val="Standard"/>
              <w:jc w:val="both"/>
              <w:rPr>
                <w:sz w:val="22"/>
              </w:rPr>
            </w:pPr>
            <w:r w:rsidRPr="00C477A2">
              <w:rPr>
                <w:sz w:val="22"/>
              </w:rPr>
              <w:t xml:space="preserve">Izvērtējot Labklājības ministrijas pārziņā esošās Atveseļošanas un noturības mehānisma (turpmāk – ANM) 3.1.2.5. i investīcijas sasaisti un demarkāciju ar citām pieaugušo izglītības prasmju attīstības investīcijām, esam secinājuši, ka prasmju (ieskaitot digitālās prasmes) uzlabošanas pasākumi ir paredzēti šādos Eiropas Sociālā fonda Plus (turpmāk – ESF Plus) pasākumos un ANM investīciju projektos: </w:t>
            </w:r>
          </w:p>
          <w:p w14:paraId="50ECBE84" w14:textId="77777777" w:rsidR="00C477A2" w:rsidRPr="00C477A2" w:rsidRDefault="00C477A2" w:rsidP="00C477A2">
            <w:pPr>
              <w:pStyle w:val="Standard"/>
              <w:jc w:val="both"/>
              <w:rPr>
                <w:sz w:val="22"/>
              </w:rPr>
            </w:pPr>
            <w:r w:rsidRPr="00C477A2">
              <w:rPr>
                <w:sz w:val="22"/>
              </w:rPr>
              <w:t>-     ANM 2.3.1.4.i. investīcija “Individuālo mācību kontu pieejas attīstība";</w:t>
            </w:r>
          </w:p>
          <w:p w14:paraId="2555B73B" w14:textId="77777777" w:rsidR="00C477A2" w:rsidRPr="00C477A2" w:rsidRDefault="00C477A2" w:rsidP="00C477A2">
            <w:pPr>
              <w:pStyle w:val="Standard"/>
              <w:jc w:val="both"/>
              <w:rPr>
                <w:sz w:val="22"/>
              </w:rPr>
            </w:pPr>
            <w:r w:rsidRPr="00C477A2">
              <w:rPr>
                <w:sz w:val="22"/>
              </w:rPr>
              <w:t>-     ANM 2.3.1.2.i. investīcija “Uzņēmumu digitālo prasmju attīstība”;</w:t>
            </w:r>
          </w:p>
          <w:p w14:paraId="64630DC6" w14:textId="77777777" w:rsidR="00C477A2" w:rsidRPr="00C477A2" w:rsidRDefault="00C477A2" w:rsidP="00C477A2">
            <w:pPr>
              <w:pStyle w:val="Standard"/>
              <w:jc w:val="both"/>
              <w:rPr>
                <w:sz w:val="22"/>
              </w:rPr>
            </w:pPr>
            <w:r w:rsidRPr="00C477A2">
              <w:rPr>
                <w:sz w:val="22"/>
              </w:rPr>
              <w:t>-     ANM 2.3.1.3.i investīcija “Pašvadītas IKT speciālistu mācību pieejas attīstība”;</w:t>
            </w:r>
          </w:p>
          <w:p w14:paraId="47145FBD" w14:textId="77777777" w:rsidR="00C477A2" w:rsidRPr="00C477A2" w:rsidRDefault="00C477A2" w:rsidP="00C477A2">
            <w:pPr>
              <w:pStyle w:val="Standard"/>
              <w:jc w:val="both"/>
              <w:rPr>
                <w:sz w:val="22"/>
              </w:rPr>
            </w:pPr>
            <w:r w:rsidRPr="00C477A2">
              <w:rPr>
                <w:sz w:val="22"/>
              </w:rPr>
              <w:t>-     ANM 2.3.2.1.i. investīcija  “Digitālās prasmes iedzīvotājiem t.sk. jauniešiem”;</w:t>
            </w:r>
          </w:p>
          <w:p w14:paraId="73A9A455" w14:textId="77777777" w:rsidR="00C477A2" w:rsidRPr="00C477A2" w:rsidRDefault="00C477A2" w:rsidP="00C477A2">
            <w:pPr>
              <w:pStyle w:val="Standard"/>
              <w:jc w:val="both"/>
              <w:rPr>
                <w:sz w:val="22"/>
              </w:rPr>
            </w:pPr>
            <w:r w:rsidRPr="00C477A2">
              <w:rPr>
                <w:sz w:val="22"/>
              </w:rPr>
              <w:t xml:space="preserve">-     ESF Plus 4.2.4.1. pasākums "Atbalsts nozaru vajadzībās balstītai pieaugušo izglītībai" </w:t>
            </w:r>
          </w:p>
          <w:p w14:paraId="4E124671" w14:textId="77777777" w:rsidR="00C477A2" w:rsidRPr="00C477A2" w:rsidRDefault="00C477A2" w:rsidP="00C477A2">
            <w:pPr>
              <w:pStyle w:val="Standard"/>
              <w:jc w:val="both"/>
              <w:rPr>
                <w:sz w:val="22"/>
              </w:rPr>
            </w:pPr>
            <w:r w:rsidRPr="00C477A2">
              <w:rPr>
                <w:sz w:val="22"/>
              </w:rPr>
              <w:t>-     ESF Plus 4.2.4.2 pasākums "Atbalsts pieaugušo individuālajās vajadzībās balstītai pieaugušo izglītībai";</w:t>
            </w:r>
          </w:p>
          <w:p w14:paraId="2E2536BE" w14:textId="77777777" w:rsidR="00C477A2" w:rsidRPr="00C477A2" w:rsidRDefault="00C477A2" w:rsidP="00C477A2">
            <w:pPr>
              <w:pStyle w:val="Standard"/>
              <w:jc w:val="both"/>
              <w:rPr>
                <w:sz w:val="22"/>
              </w:rPr>
            </w:pPr>
            <w:r w:rsidRPr="00C477A2">
              <w:rPr>
                <w:sz w:val="22"/>
              </w:rPr>
              <w:t>-     Taisnīgas pārkārtošanās fonda 6.1.1.5. pasākums "Nodarbināto prasmju paaugstināšana un atbalsts kvalifikācijas iegūšanai, atbalsts darbaspēka mācībām saskaņā ar uzņēmumu pieprasījumu".</w:t>
            </w:r>
          </w:p>
          <w:p w14:paraId="64B1DAC2" w14:textId="41A385E1" w:rsidR="00C477A2" w:rsidRPr="00C477A2" w:rsidRDefault="00C477A2" w:rsidP="00C477A2">
            <w:pPr>
              <w:pStyle w:val="Standard"/>
              <w:jc w:val="both"/>
              <w:rPr>
                <w:sz w:val="22"/>
              </w:rPr>
            </w:pPr>
            <w:r w:rsidRPr="00C477A2">
              <w:rPr>
                <w:sz w:val="22"/>
              </w:rPr>
              <w:t xml:space="preserve">Līdz ar to arī attiecībā uz 4.2.4.3.pasākumu būtu nepieciešams paredzēt nosacījumus demarkācijas nodrošināšanai, lai novērstu potenciālu dubultā finansējuma risku. Tā, piemēram, ANM 3.1.2.5.i investīcijas ietvaros ir paredzēts, ka, atbilstoši </w:t>
            </w:r>
            <w:r w:rsidRPr="00C477A2">
              <w:rPr>
                <w:sz w:val="22"/>
              </w:rPr>
              <w:lastRenderedPageBreak/>
              <w:t>Cilvēkkapitāla attīstības padomes ietvaros noteiktajam resoru atbildības sadalījumam plānots, ka Ekonomikas ministrija apkopos, izvērtēs un sagatavos darba tirgus prognozes un ikgadējo nozaru tautsaimniecības vajadzībās un nodarbinātības analīzē balstītu darbaspēka pieprasījumu – sadarbībā ar nozaru ekspertu padomēm nosakot darba tirgum nepieciešamās profesionālās kvalifikācijas un prasmes nozaru un profesiju griezumā un to nepieciešamo apjomu. Apvienotās pieaugušo izglītības koordinācijas komisijai (kas tiks izveidota Cilvēkkapitāla attīstības padomes ietvaros)  nosakot pārkvalifikācijas un prasmju pilnveides programmas bezdarbniekiem, darba meklētājiem un bezdarba riskam pakļautajiem sasaistē ar citiem īstenotajiem pieaugušo izglītības projektiem Latvijā, tiks veicināta gan saskaņota starpinstitucionāla mūžizglītības piedāvājuma noteikšana, gan tā ilgtermiņa stratēģiska attīstība, sekmējot kā pieprasījuma (izglītojamo), tā piedāvājuma (izglītības pakalpojumu sniedzēju) puses iesaisti projektos.</w:t>
            </w:r>
          </w:p>
          <w:p w14:paraId="77B7629F" w14:textId="1622261C" w:rsidR="00C477A2" w:rsidRPr="00C477A2" w:rsidRDefault="00C477A2" w:rsidP="00C477A2">
            <w:pPr>
              <w:pStyle w:val="Standard"/>
              <w:jc w:val="both"/>
              <w:rPr>
                <w:sz w:val="22"/>
              </w:rPr>
            </w:pPr>
            <w:r w:rsidRPr="00C477A2">
              <w:rPr>
                <w:sz w:val="22"/>
              </w:rPr>
              <w:t>Ņemot vērā minēto, lūdzam projektu iesniegumu vērtēšanas kritēriju piemērošanas metodikā iekļaut kritēriju par demarkāciju, paredzēt nosacījumus demarkācijas nodrošināšanai, attiecīgi papildinot arī aprakstu anotācijas sadaļas “1.3. Pašreizējā situācija, problēmas un risinājumi” apakšsadaļā “Citi nosacījumi”.</w:t>
            </w:r>
          </w:p>
        </w:tc>
        <w:tc>
          <w:tcPr>
            <w:tcW w:w="2790" w:type="dxa"/>
          </w:tcPr>
          <w:p w14:paraId="3BDEE664" w14:textId="19F5D734" w:rsidR="00817FF1" w:rsidRPr="00817FF1" w:rsidRDefault="00817FF1" w:rsidP="00817FF1">
            <w:pPr>
              <w:pStyle w:val="Standard"/>
              <w:jc w:val="both"/>
              <w:rPr>
                <w:b/>
                <w:bCs/>
                <w:sz w:val="22"/>
              </w:rPr>
            </w:pPr>
            <w:r w:rsidRPr="00817FF1">
              <w:rPr>
                <w:b/>
                <w:bCs/>
                <w:sz w:val="22"/>
              </w:rPr>
              <w:lastRenderedPageBreak/>
              <w:t>Nav ņemts vērā</w:t>
            </w:r>
          </w:p>
          <w:p w14:paraId="49DCC31B" w14:textId="57A38C53" w:rsidR="00EF2D6C" w:rsidRDefault="00817FF1" w:rsidP="00817FF1">
            <w:pPr>
              <w:pStyle w:val="Standard"/>
              <w:jc w:val="both"/>
              <w:rPr>
                <w:sz w:val="22"/>
              </w:rPr>
            </w:pPr>
            <w:r w:rsidRPr="00817FF1">
              <w:rPr>
                <w:sz w:val="22"/>
              </w:rPr>
              <w:t xml:space="preserve">Skaidrojam, ka projektu iesniegumu vērtēšanas </w:t>
            </w:r>
            <w:r w:rsidRPr="00817FF1">
              <w:rPr>
                <w:sz w:val="22"/>
              </w:rPr>
              <w:lastRenderedPageBreak/>
              <w:t xml:space="preserve">ietvaros tiks vērtēta </w:t>
            </w:r>
            <w:r w:rsidR="00EF2D6C">
              <w:rPr>
                <w:sz w:val="22"/>
              </w:rPr>
              <w:t xml:space="preserve">informācija, </w:t>
            </w:r>
            <w:r w:rsidR="00EF2D6C" w:rsidRPr="00C477A2">
              <w:rPr>
                <w:sz w:val="22"/>
              </w:rPr>
              <w:t>kas apliecina dubultā finansējuma neesamību un plānoto demarkāciju un/ vai sinerģiju ar projekta iesniedzēja īstenoto (jau pabeigto) vai īstenošanā esošo projektu atbalsta pasākumiem vai citu subjektu īstenotiem projektiem vai atbalsta pasākumiem</w:t>
            </w:r>
            <w:r w:rsidR="00EF2D6C">
              <w:rPr>
                <w:sz w:val="22"/>
              </w:rPr>
              <w:t>.</w:t>
            </w:r>
          </w:p>
          <w:p w14:paraId="6CAA44C9" w14:textId="77777777" w:rsidR="003B7861" w:rsidRDefault="00817FF1" w:rsidP="00817FF1">
            <w:pPr>
              <w:pStyle w:val="Standard"/>
              <w:jc w:val="both"/>
              <w:rPr>
                <w:sz w:val="22"/>
              </w:rPr>
            </w:pPr>
            <w:r w:rsidRPr="00817FF1">
              <w:rPr>
                <w:sz w:val="22"/>
              </w:rPr>
              <w:t>Skaidrojam, ka ES fondu apakškomitejas ietvaros izskata tikai tos kritērijus un to piemērošanas skaidrojumus, kas ir maināmi vai precizējami nolikumu izstrādes un saskaņošanas ietvaros</w:t>
            </w:r>
            <w:r w:rsidR="003B7861">
              <w:rPr>
                <w:sz w:val="22"/>
              </w:rPr>
              <w:t>.</w:t>
            </w:r>
          </w:p>
          <w:p w14:paraId="16EDF5BC" w14:textId="139344D4" w:rsidR="00817FF1" w:rsidRPr="00817FF1" w:rsidRDefault="003B7861" w:rsidP="00817FF1">
            <w:pPr>
              <w:pStyle w:val="Standard"/>
              <w:jc w:val="both"/>
              <w:rPr>
                <w:sz w:val="22"/>
              </w:rPr>
            </w:pPr>
            <w:r>
              <w:rPr>
                <w:sz w:val="22"/>
              </w:rPr>
              <w:t>D</w:t>
            </w:r>
            <w:r w:rsidR="0034392D">
              <w:rPr>
                <w:sz w:val="22"/>
              </w:rPr>
              <w:t>ubultā finansējuma un demarkācijas</w:t>
            </w:r>
            <w:r w:rsidR="00817FF1" w:rsidRPr="00817FF1">
              <w:rPr>
                <w:sz w:val="22"/>
              </w:rPr>
              <w:t xml:space="preserve"> kritērijs un tā piemērošanas skaidrojums ir iekļauts Finanšu ministrijas vienot</w:t>
            </w:r>
            <w:r w:rsidR="008944B4">
              <w:rPr>
                <w:sz w:val="22"/>
              </w:rPr>
              <w:t>ās</w:t>
            </w:r>
            <w:r w:rsidR="00817FF1" w:rsidRPr="00817FF1">
              <w:rPr>
                <w:sz w:val="22"/>
              </w:rPr>
              <w:t xml:space="preserve"> atlases metodikas </w:t>
            </w:r>
            <w:hyperlink r:id="rId10" w:history="1">
              <w:r w:rsidR="00817FF1" w:rsidRPr="00F851C9">
                <w:rPr>
                  <w:rStyle w:val="Hyperlink"/>
                  <w:rFonts w:cs="Times New Roman"/>
                  <w:sz w:val="22"/>
                </w:rPr>
                <w:t>“Eiropas Reģionālās attīstības fonda, Eiropas Sociālā fonda plus,  Kohēzijas fonda un Taisnīgas pārkārtošanās fonda projektu iesniegumu atlases metodika 2021.–2027.gadam</w:t>
              </w:r>
              <w:r w:rsidR="00F851C9" w:rsidRPr="00F851C9">
                <w:rPr>
                  <w:rStyle w:val="Hyperlink"/>
                  <w:sz w:val="22"/>
                </w:rPr>
                <w:t>”</w:t>
              </w:r>
            </w:hyperlink>
            <w:r w:rsidR="00817FF1" w:rsidRPr="00817FF1">
              <w:rPr>
                <w:sz w:val="22"/>
              </w:rPr>
              <w:t xml:space="preserve"> </w:t>
            </w:r>
            <w:r w:rsidR="0034392D">
              <w:rPr>
                <w:sz w:val="22"/>
              </w:rPr>
              <w:t>2</w:t>
            </w:r>
            <w:r w:rsidR="00817FF1" w:rsidRPr="00817FF1">
              <w:rPr>
                <w:sz w:val="22"/>
              </w:rPr>
              <w:t>. pielikumā kā vienotais  kritērijs</w:t>
            </w:r>
            <w:r w:rsidR="00353A4B">
              <w:rPr>
                <w:sz w:val="22"/>
              </w:rPr>
              <w:t xml:space="preserve"> Nr. 4</w:t>
            </w:r>
            <w:r w:rsidR="00817FF1" w:rsidRPr="00817FF1">
              <w:rPr>
                <w:sz w:val="22"/>
              </w:rPr>
              <w:t xml:space="preserve">. </w:t>
            </w:r>
          </w:p>
          <w:p w14:paraId="514F60A0" w14:textId="665F014A" w:rsidR="00C477A2" w:rsidRPr="000054D9" w:rsidRDefault="00817FF1" w:rsidP="00817FF1">
            <w:pPr>
              <w:pStyle w:val="Standard"/>
              <w:jc w:val="both"/>
              <w:rPr>
                <w:sz w:val="22"/>
              </w:rPr>
            </w:pPr>
            <w:r w:rsidRPr="00817FF1">
              <w:rPr>
                <w:sz w:val="22"/>
              </w:rPr>
              <w:t>Saskaņā ar minētās atlases  metodikas 17. punktu</w:t>
            </w:r>
            <w:r w:rsidR="005966BD">
              <w:rPr>
                <w:sz w:val="22"/>
              </w:rPr>
              <w:t xml:space="preserve">, </w:t>
            </w:r>
            <w:r w:rsidR="00871399">
              <w:rPr>
                <w:sz w:val="22"/>
              </w:rPr>
              <w:t>metodikas 2.</w:t>
            </w:r>
            <w:r w:rsidR="008944B4">
              <w:rPr>
                <w:sz w:val="22"/>
              </w:rPr>
              <w:t xml:space="preserve"> </w:t>
            </w:r>
            <w:r w:rsidR="00871399">
              <w:rPr>
                <w:sz w:val="22"/>
              </w:rPr>
              <w:t xml:space="preserve">pielikumā </w:t>
            </w:r>
            <w:r w:rsidR="0034296D">
              <w:rPr>
                <w:sz w:val="22"/>
              </w:rPr>
              <w:t xml:space="preserve">iekļautie vienotie kritēriji </w:t>
            </w:r>
            <w:r w:rsidR="003B46A7">
              <w:rPr>
                <w:sz w:val="22"/>
              </w:rPr>
              <w:t xml:space="preserve">un </w:t>
            </w:r>
            <w:r w:rsidR="003B46A7">
              <w:rPr>
                <w:sz w:val="22"/>
              </w:rPr>
              <w:lastRenderedPageBreak/>
              <w:t xml:space="preserve">to piemērošanas skaidrojumi nav maināmi, līdz ar to </w:t>
            </w:r>
            <w:r w:rsidR="00907902">
              <w:rPr>
                <w:sz w:val="22"/>
              </w:rPr>
              <w:t>attiecīgais</w:t>
            </w:r>
            <w:r w:rsidRPr="00817FF1">
              <w:rPr>
                <w:sz w:val="22"/>
              </w:rPr>
              <w:t xml:space="preserve"> kritērijs un tā piemērošanas skaidrojums tiks iekļauts projektu iesniegumu atlases nolikumā un projekt</w:t>
            </w:r>
            <w:r w:rsidR="00907902">
              <w:rPr>
                <w:sz w:val="22"/>
              </w:rPr>
              <w:t>a</w:t>
            </w:r>
            <w:r w:rsidRPr="00817FF1">
              <w:rPr>
                <w:sz w:val="22"/>
              </w:rPr>
              <w:t xml:space="preserve"> iesniegum</w:t>
            </w:r>
            <w:r w:rsidR="00907902">
              <w:rPr>
                <w:sz w:val="22"/>
              </w:rPr>
              <w:t>s</w:t>
            </w:r>
            <w:r w:rsidRPr="00817FF1">
              <w:rPr>
                <w:sz w:val="22"/>
              </w:rPr>
              <w:t xml:space="preserve"> tiks vērtēt</w:t>
            </w:r>
            <w:r w:rsidR="00907902">
              <w:rPr>
                <w:sz w:val="22"/>
              </w:rPr>
              <w:t>s</w:t>
            </w:r>
            <w:r w:rsidRPr="00817FF1">
              <w:rPr>
                <w:sz w:val="22"/>
              </w:rPr>
              <w:t xml:space="preserve"> atbilstoši minētās metodikas </w:t>
            </w:r>
            <w:r w:rsidR="00907902">
              <w:rPr>
                <w:sz w:val="22"/>
              </w:rPr>
              <w:t>2</w:t>
            </w:r>
            <w:r w:rsidRPr="00817FF1">
              <w:rPr>
                <w:sz w:val="22"/>
              </w:rPr>
              <w:t>.</w:t>
            </w:r>
            <w:r w:rsidR="008944B4">
              <w:rPr>
                <w:sz w:val="22"/>
              </w:rPr>
              <w:t xml:space="preserve"> </w:t>
            </w:r>
            <w:r w:rsidRPr="00817FF1">
              <w:rPr>
                <w:sz w:val="22"/>
              </w:rPr>
              <w:t>pielikumā norādītajam kritērija piemērošanas skaidrojumam.</w:t>
            </w:r>
          </w:p>
        </w:tc>
        <w:tc>
          <w:tcPr>
            <w:tcW w:w="2790" w:type="dxa"/>
          </w:tcPr>
          <w:p w14:paraId="6D3AC57F" w14:textId="77777777" w:rsidR="00C477A2" w:rsidRPr="000054D9" w:rsidRDefault="00C477A2" w:rsidP="00340749">
            <w:pPr>
              <w:pStyle w:val="Standard"/>
              <w:jc w:val="both"/>
              <w:rPr>
                <w:sz w:val="22"/>
              </w:rPr>
            </w:pPr>
          </w:p>
        </w:tc>
      </w:tr>
      <w:tr w:rsidR="00340749" w:rsidRPr="000054D9" w14:paraId="7CE2B13B" w14:textId="77777777" w:rsidTr="00941BB3">
        <w:tc>
          <w:tcPr>
            <w:tcW w:w="562" w:type="dxa"/>
          </w:tcPr>
          <w:p w14:paraId="3814331A" w14:textId="77777777" w:rsidR="00340749" w:rsidRPr="000054D9" w:rsidRDefault="00340749" w:rsidP="00A57181">
            <w:pPr>
              <w:pStyle w:val="Standard"/>
              <w:numPr>
                <w:ilvl w:val="0"/>
                <w:numId w:val="13"/>
              </w:numPr>
              <w:ind w:hanging="1049"/>
              <w:jc w:val="center"/>
              <w:rPr>
                <w:rFonts w:cs="Times New Roman"/>
                <w:b/>
                <w:bCs/>
                <w:sz w:val="22"/>
              </w:rPr>
            </w:pPr>
          </w:p>
        </w:tc>
        <w:tc>
          <w:tcPr>
            <w:tcW w:w="2694" w:type="dxa"/>
          </w:tcPr>
          <w:p w14:paraId="79F9319A" w14:textId="62D7A2EA" w:rsidR="00340749" w:rsidRPr="000054D9" w:rsidRDefault="00C477A2" w:rsidP="00340749">
            <w:pPr>
              <w:pStyle w:val="Standard"/>
              <w:jc w:val="both"/>
              <w:rPr>
                <w:rFonts w:cs="Times New Roman"/>
                <w:b/>
                <w:bCs/>
                <w:sz w:val="22"/>
              </w:rPr>
            </w:pPr>
            <w:r>
              <w:rPr>
                <w:rFonts w:cs="Times New Roman"/>
                <w:b/>
                <w:bCs/>
                <w:sz w:val="22"/>
              </w:rPr>
              <w:t>Kritērijs Nr. 3.4.</w:t>
            </w:r>
          </w:p>
        </w:tc>
        <w:tc>
          <w:tcPr>
            <w:tcW w:w="5112" w:type="dxa"/>
          </w:tcPr>
          <w:p w14:paraId="49A2CBAA" w14:textId="77777777" w:rsidR="00340749" w:rsidRPr="00C477A2" w:rsidRDefault="00C477A2" w:rsidP="00340749">
            <w:pPr>
              <w:pStyle w:val="Standard"/>
              <w:jc w:val="both"/>
              <w:rPr>
                <w:rFonts w:cs="Times New Roman"/>
                <w:b/>
                <w:bCs/>
                <w:sz w:val="22"/>
              </w:rPr>
            </w:pPr>
            <w:r w:rsidRPr="00C477A2">
              <w:rPr>
                <w:rFonts w:cs="Times New Roman"/>
                <w:b/>
                <w:bCs/>
                <w:sz w:val="22"/>
              </w:rPr>
              <w:t>Labklājības ministrija HP</w:t>
            </w:r>
          </w:p>
          <w:p w14:paraId="1CA8198D" w14:textId="77777777" w:rsidR="00C477A2" w:rsidRDefault="00C477A2" w:rsidP="00340749">
            <w:pPr>
              <w:pStyle w:val="Standard"/>
              <w:jc w:val="both"/>
              <w:rPr>
                <w:rFonts w:cs="Times New Roman"/>
                <w:sz w:val="22"/>
              </w:rPr>
            </w:pPr>
          </w:p>
          <w:p w14:paraId="58478F48" w14:textId="77777777" w:rsidR="00C477A2" w:rsidRPr="00C477A2" w:rsidRDefault="00C477A2" w:rsidP="00C477A2">
            <w:pPr>
              <w:pStyle w:val="Standard"/>
              <w:jc w:val="both"/>
              <w:rPr>
                <w:rFonts w:cs="Times New Roman"/>
                <w:sz w:val="22"/>
              </w:rPr>
            </w:pPr>
            <w:r w:rsidRPr="00C477A2">
              <w:rPr>
                <w:rFonts w:cs="Times New Roman"/>
                <w:sz w:val="22"/>
              </w:rPr>
              <w:t>Lūdzu veikt precizējumus kritēriju metodikas 3.4. specifiskā atbilstības kritērija sadaļā “Skaidrojums atbilstības noteikšanai” attiecībā uz horizontālā principa “Vienlīdzība, iekļaušana, nediskriminācija un pamattiesību ievērošana” vērtēšanas nosacījumu atspoguļošanu:</w:t>
            </w:r>
          </w:p>
          <w:p w14:paraId="4C509160" w14:textId="77777777" w:rsidR="00C477A2" w:rsidRPr="00C477A2" w:rsidRDefault="00C477A2" w:rsidP="00C477A2">
            <w:pPr>
              <w:pStyle w:val="Standard"/>
              <w:jc w:val="both"/>
              <w:rPr>
                <w:rFonts w:cs="Times New Roman"/>
                <w:sz w:val="22"/>
              </w:rPr>
            </w:pPr>
            <w:r w:rsidRPr="00C477A2">
              <w:rPr>
                <w:rFonts w:cs="Times New Roman"/>
                <w:sz w:val="22"/>
              </w:rPr>
              <w:t xml:space="preserve">1) lūdzu papildināt informāciju ar norādi par HP vadlīnijām, kuras ir jāizmanto gan projekta iesnieguma sagatavotājam, gan vērtētājiem : ”Kritērija vērtēšanā </w:t>
            </w:r>
            <w:r w:rsidRPr="00C477A2">
              <w:rPr>
                <w:rFonts w:cs="Times New Roman"/>
                <w:sz w:val="22"/>
              </w:rPr>
              <w:lastRenderedPageBreak/>
              <w:t>izmanto Labklājības ministrijas un Tieslietu ministrijas izstrādātās vadlīnijas “Horizontālais princips “Vienlīdzība, iekļaušana, nediskriminācija un pamattiesību ievērošana” vadlīnijas īstenošanai un uzraudzībai (2021-2027) (Pieejamas: https://www.lm.gov.lv/lv/metodiskie-materiali )”.</w:t>
            </w:r>
          </w:p>
          <w:p w14:paraId="49E5F002" w14:textId="77777777" w:rsidR="00C477A2" w:rsidRPr="00C477A2" w:rsidRDefault="00C477A2" w:rsidP="00C477A2">
            <w:pPr>
              <w:pStyle w:val="Standard"/>
              <w:jc w:val="both"/>
              <w:rPr>
                <w:rFonts w:cs="Times New Roman"/>
                <w:sz w:val="22"/>
              </w:rPr>
            </w:pPr>
            <w:r w:rsidRPr="00C477A2">
              <w:rPr>
                <w:rFonts w:cs="Times New Roman"/>
                <w:sz w:val="22"/>
              </w:rPr>
              <w:t>2) Saskaņā ar Vadlīnijām horizontālā principa “Vienlīdzība, iekļaušana, nediskriminācija un pamattiesību ievērošana” īstenošanai un uzraudzībai (2021-2027)” 4.pielikumu 4.2.4.3. pasākumam ir tieša ietekme uz HP VINPI. Attiecīgi ierobežotā projektu iesniegumu atlasē HP VINPI kritērijā  ir jāpiemēro šādi nosacījumi:</w:t>
            </w:r>
          </w:p>
          <w:p w14:paraId="1535584B" w14:textId="77777777" w:rsidR="00C477A2" w:rsidRPr="00C477A2" w:rsidRDefault="00C477A2" w:rsidP="00C477A2">
            <w:pPr>
              <w:pStyle w:val="Standard"/>
              <w:jc w:val="both"/>
              <w:rPr>
                <w:rFonts w:cs="Times New Roman"/>
                <w:sz w:val="22"/>
              </w:rPr>
            </w:pPr>
            <w:r w:rsidRPr="00C477A2">
              <w:rPr>
                <w:rFonts w:cs="Times New Roman"/>
                <w:sz w:val="22"/>
              </w:rPr>
              <w:t>“Ja projekta iesniegums atbilst minimālajām prasībām, vērtējums ir “Jā”, t.i. no projekta iesniegumā ietvertās informācijas ir secināms, ka projektā paredzētas:</w:t>
            </w:r>
          </w:p>
          <w:p w14:paraId="3A88E760" w14:textId="6202BB1E" w:rsidR="00C477A2" w:rsidRPr="00C477A2" w:rsidRDefault="00C477A2" w:rsidP="00C477A2">
            <w:pPr>
              <w:pStyle w:val="Standard"/>
              <w:jc w:val="both"/>
              <w:rPr>
                <w:rFonts w:cs="Times New Roman"/>
                <w:sz w:val="22"/>
              </w:rPr>
            </w:pPr>
            <w:r w:rsidRPr="00C477A2">
              <w:rPr>
                <w:rFonts w:cs="Times New Roman"/>
                <w:sz w:val="22"/>
              </w:rPr>
              <w:t>•</w:t>
            </w:r>
            <w:r w:rsidR="00F620AD">
              <w:rPr>
                <w:rFonts w:cs="Times New Roman"/>
                <w:sz w:val="22"/>
              </w:rPr>
              <w:t xml:space="preserve"> </w:t>
            </w:r>
            <w:r w:rsidRPr="00C477A2">
              <w:rPr>
                <w:rFonts w:cs="Times New Roman"/>
                <w:sz w:val="22"/>
              </w:rPr>
              <w:t>vismaz 5 vispārīgās HP VINPI darbības un</w:t>
            </w:r>
          </w:p>
          <w:p w14:paraId="31211535" w14:textId="02F035DC" w:rsidR="00C477A2" w:rsidRPr="00C477A2" w:rsidRDefault="00C477A2" w:rsidP="00C477A2">
            <w:pPr>
              <w:pStyle w:val="Standard"/>
              <w:jc w:val="both"/>
              <w:rPr>
                <w:rFonts w:cs="Times New Roman"/>
                <w:sz w:val="22"/>
              </w:rPr>
            </w:pPr>
            <w:r w:rsidRPr="00C477A2">
              <w:rPr>
                <w:rFonts w:cs="Times New Roman"/>
                <w:sz w:val="22"/>
              </w:rPr>
              <w:t>•</w:t>
            </w:r>
            <w:r w:rsidR="00F620AD">
              <w:rPr>
                <w:rFonts w:cs="Times New Roman"/>
                <w:sz w:val="22"/>
              </w:rPr>
              <w:t xml:space="preserve"> </w:t>
            </w:r>
            <w:r w:rsidRPr="00C477A2">
              <w:rPr>
                <w:rFonts w:cs="Times New Roman"/>
                <w:sz w:val="22"/>
              </w:rPr>
              <w:t>vismaz 3 specifiskās HP VINPI darbības;</w:t>
            </w:r>
          </w:p>
          <w:p w14:paraId="5D376918" w14:textId="71D0023C" w:rsidR="00C477A2" w:rsidRPr="00C477A2" w:rsidRDefault="00C477A2" w:rsidP="00C477A2">
            <w:pPr>
              <w:pStyle w:val="Standard"/>
              <w:jc w:val="both"/>
              <w:rPr>
                <w:rFonts w:cs="Times New Roman"/>
                <w:sz w:val="22"/>
              </w:rPr>
            </w:pPr>
            <w:r w:rsidRPr="00C477A2">
              <w:rPr>
                <w:rFonts w:cs="Times New Roman"/>
                <w:sz w:val="22"/>
              </w:rPr>
              <w:t>•</w:t>
            </w:r>
            <w:r w:rsidR="00F620AD">
              <w:rPr>
                <w:rFonts w:cs="Times New Roman"/>
                <w:sz w:val="22"/>
              </w:rPr>
              <w:t xml:space="preserve"> </w:t>
            </w:r>
            <w:r w:rsidRPr="00C477A2">
              <w:rPr>
                <w:rFonts w:cs="Times New Roman"/>
                <w:sz w:val="22"/>
              </w:rPr>
              <w:t>noteikti vismaz 2 HP VINPI rādītāji”</w:t>
            </w:r>
          </w:p>
          <w:p w14:paraId="31C7AB91" w14:textId="77777777" w:rsidR="00C477A2" w:rsidRPr="00C477A2" w:rsidRDefault="00C477A2" w:rsidP="00C477A2">
            <w:pPr>
              <w:pStyle w:val="Standard"/>
              <w:jc w:val="both"/>
              <w:rPr>
                <w:rFonts w:cs="Times New Roman"/>
                <w:sz w:val="22"/>
              </w:rPr>
            </w:pPr>
          </w:p>
          <w:p w14:paraId="540D9817" w14:textId="77777777" w:rsidR="00C477A2" w:rsidRPr="00C477A2" w:rsidRDefault="00C477A2" w:rsidP="00C477A2">
            <w:pPr>
              <w:pStyle w:val="Standard"/>
              <w:jc w:val="both"/>
              <w:rPr>
                <w:rFonts w:cs="Times New Roman"/>
                <w:sz w:val="22"/>
              </w:rPr>
            </w:pPr>
            <w:r w:rsidRPr="00C477A2">
              <w:rPr>
                <w:rFonts w:cs="Times New Roman"/>
                <w:sz w:val="22"/>
              </w:rPr>
              <w:t>3)  kritērija Nr.3.4 piemērošanas skaidrojumā atbildīgā iestāde ir definējusi tādas HP vispārīgās un specifiskās darbības, kas nav definētas HP vadlīnijās un KP VIS. Paskaidrojam, ka KP VIS ir iekļautas HP vispārīgo un specifisko darbību redakcijas atbilstoši HP vadlīnijās definētajām un projekta iesniedzējam būs grūtības identificēt KP VIS vidē metodikā norādītās HP darbības.</w:t>
            </w:r>
          </w:p>
          <w:p w14:paraId="28908FF6" w14:textId="77777777" w:rsidR="00C477A2" w:rsidRPr="00C477A2" w:rsidRDefault="00C477A2" w:rsidP="00C477A2">
            <w:pPr>
              <w:pStyle w:val="Standard"/>
              <w:jc w:val="both"/>
              <w:rPr>
                <w:rFonts w:cs="Times New Roman"/>
                <w:sz w:val="22"/>
              </w:rPr>
            </w:pPr>
            <w:r w:rsidRPr="00C477A2">
              <w:rPr>
                <w:rFonts w:cs="Times New Roman"/>
                <w:sz w:val="22"/>
              </w:rPr>
              <w:t>Vienlaikus piekrītam, ka VARAM definētās HP darbību redakcijas ir veiksmīgas un pasākuma saturam atbilstošas, līdz ar to pastāv divi veidi kā var atspoguļot HP darbības projekta iesniegumā KP VIS:</w:t>
            </w:r>
          </w:p>
          <w:p w14:paraId="4CEF8F88" w14:textId="77777777" w:rsidR="00C477A2" w:rsidRPr="00C477A2" w:rsidRDefault="00C477A2" w:rsidP="00C477A2">
            <w:pPr>
              <w:pStyle w:val="Standard"/>
              <w:jc w:val="both"/>
              <w:rPr>
                <w:rFonts w:cs="Times New Roman"/>
                <w:sz w:val="22"/>
              </w:rPr>
            </w:pPr>
            <w:r w:rsidRPr="00C477A2">
              <w:rPr>
                <w:rFonts w:cs="Times New Roman"/>
                <w:sz w:val="22"/>
              </w:rPr>
              <w:t>•</w:t>
            </w:r>
            <w:r w:rsidRPr="00C477A2">
              <w:rPr>
                <w:rFonts w:cs="Times New Roman"/>
                <w:sz w:val="22"/>
              </w:rPr>
              <w:tab/>
              <w:t>kritēriju metodikā definēt HP darbības atbilstoši HP vadlīnijām un KP VIS;</w:t>
            </w:r>
          </w:p>
          <w:p w14:paraId="1D6232F8" w14:textId="77777777" w:rsidR="00C477A2" w:rsidRPr="00C477A2" w:rsidRDefault="00C477A2" w:rsidP="00C477A2">
            <w:pPr>
              <w:pStyle w:val="Standard"/>
              <w:jc w:val="both"/>
              <w:rPr>
                <w:rFonts w:cs="Times New Roman"/>
                <w:sz w:val="22"/>
              </w:rPr>
            </w:pPr>
            <w:r w:rsidRPr="00C477A2">
              <w:rPr>
                <w:rFonts w:cs="Times New Roman"/>
                <w:sz w:val="22"/>
              </w:rPr>
              <w:t>•</w:t>
            </w:r>
            <w:r w:rsidRPr="00C477A2">
              <w:rPr>
                <w:rFonts w:cs="Times New Roman"/>
                <w:sz w:val="22"/>
              </w:rPr>
              <w:tab/>
              <w:t>pie HP darbības VARAM redakcijā  kritēriju metodikā var norādīt, ka darbība ir jāpievieno PI kā “Jauna HP darbība”.</w:t>
            </w:r>
          </w:p>
          <w:p w14:paraId="5B4A1069" w14:textId="77777777" w:rsidR="00C477A2" w:rsidRPr="00C477A2" w:rsidRDefault="00C477A2" w:rsidP="00C477A2">
            <w:pPr>
              <w:pStyle w:val="Standard"/>
              <w:jc w:val="both"/>
              <w:rPr>
                <w:rFonts w:cs="Times New Roman"/>
                <w:sz w:val="22"/>
              </w:rPr>
            </w:pPr>
            <w:r w:rsidRPr="00C477A2">
              <w:rPr>
                <w:rFonts w:cs="Times New Roman"/>
                <w:sz w:val="22"/>
              </w:rPr>
              <w:t xml:space="preserve">4) Lūdzu precizēt HP rādītāja VINPI_02.1. redakciju atbilstoši HP vadlīniju 4.pielikumam. Paskaidroju, ka </w:t>
            </w:r>
            <w:r w:rsidRPr="00C477A2">
              <w:rPr>
                <w:rFonts w:cs="Times New Roman"/>
                <w:sz w:val="22"/>
              </w:rPr>
              <w:lastRenderedPageBreak/>
              <w:t>KP VIS ir ievadītas tieši tādas rādīju redakcijas, kuras ir vadlīnijās.</w:t>
            </w:r>
          </w:p>
          <w:p w14:paraId="43646E73" w14:textId="77777777" w:rsidR="00C477A2" w:rsidRPr="00C477A2" w:rsidRDefault="00C477A2" w:rsidP="00C477A2">
            <w:pPr>
              <w:pStyle w:val="Standard"/>
              <w:jc w:val="both"/>
              <w:rPr>
                <w:rFonts w:cs="Times New Roman"/>
                <w:sz w:val="22"/>
              </w:rPr>
            </w:pPr>
            <w:r w:rsidRPr="00C477A2">
              <w:rPr>
                <w:rFonts w:cs="Times New Roman"/>
                <w:sz w:val="22"/>
              </w:rPr>
              <w:t>5) Lūdzu papildināt ar specifisku HP VINPI darbību, kas nodrošina HP rādītāja VINPI_02.1. sasniegšanu.</w:t>
            </w:r>
          </w:p>
          <w:p w14:paraId="67F0D3E2" w14:textId="7EEE179A" w:rsidR="00C477A2" w:rsidRPr="000054D9" w:rsidRDefault="00C477A2" w:rsidP="00C477A2">
            <w:pPr>
              <w:pStyle w:val="Standard"/>
              <w:jc w:val="both"/>
              <w:rPr>
                <w:rFonts w:cs="Times New Roman"/>
                <w:sz w:val="22"/>
              </w:rPr>
            </w:pPr>
            <w:r w:rsidRPr="00C477A2">
              <w:rPr>
                <w:rFonts w:cs="Times New Roman"/>
                <w:sz w:val="22"/>
              </w:rPr>
              <w:t>Lūdzu skatīt visus komentārus un papildinājumus pievienotajā dokumentā.</w:t>
            </w:r>
          </w:p>
        </w:tc>
        <w:tc>
          <w:tcPr>
            <w:tcW w:w="2790" w:type="dxa"/>
          </w:tcPr>
          <w:p w14:paraId="65EB2BCD" w14:textId="0ED46D7E" w:rsidR="00340749" w:rsidRPr="003C68AF" w:rsidRDefault="002F2C4B" w:rsidP="00340749">
            <w:pPr>
              <w:pStyle w:val="Standard"/>
              <w:jc w:val="both"/>
              <w:rPr>
                <w:rFonts w:cs="Times New Roman"/>
                <w:b/>
                <w:bCs/>
                <w:sz w:val="22"/>
              </w:rPr>
            </w:pPr>
            <w:r w:rsidRPr="003C68AF">
              <w:rPr>
                <w:rFonts w:cs="Times New Roman"/>
                <w:b/>
                <w:bCs/>
                <w:sz w:val="22"/>
              </w:rPr>
              <w:lastRenderedPageBreak/>
              <w:t>Ņemts vērā</w:t>
            </w:r>
          </w:p>
          <w:p w14:paraId="05DC1EC2" w14:textId="6B40B678" w:rsidR="00B51A9D" w:rsidRDefault="00292229" w:rsidP="00340749">
            <w:pPr>
              <w:pStyle w:val="Standard"/>
              <w:jc w:val="both"/>
              <w:rPr>
                <w:rFonts w:cs="Times New Roman"/>
                <w:sz w:val="22"/>
              </w:rPr>
            </w:pPr>
            <w:r>
              <w:rPr>
                <w:rFonts w:cs="Times New Roman"/>
                <w:sz w:val="22"/>
              </w:rPr>
              <w:t xml:space="preserve">Veikti </w:t>
            </w:r>
            <w:r w:rsidR="00FC74EA">
              <w:rPr>
                <w:rFonts w:cs="Times New Roman"/>
                <w:sz w:val="22"/>
              </w:rPr>
              <w:t xml:space="preserve">attiecīgi precizējumi kritēriju metodikas </w:t>
            </w:r>
            <w:r w:rsidR="00B51A9D" w:rsidRPr="00C477A2">
              <w:rPr>
                <w:rFonts w:cs="Times New Roman"/>
                <w:sz w:val="22"/>
              </w:rPr>
              <w:t xml:space="preserve">3.4. specifiskā atbilstības kritērija sadaļā “Skaidrojums atbilstības noteikšanai” attiecībā uz horizontālā principa “Vienlīdzība, iekļaušana, nediskriminācija un pamattiesību ievērošana” vērtēšanas nosacījumu </w:t>
            </w:r>
            <w:r w:rsidR="00B51A9D" w:rsidRPr="00C477A2">
              <w:rPr>
                <w:rFonts w:cs="Times New Roman"/>
                <w:sz w:val="22"/>
              </w:rPr>
              <w:lastRenderedPageBreak/>
              <w:t>atspoguļošanu</w:t>
            </w:r>
            <w:r w:rsidR="003C68AF">
              <w:rPr>
                <w:rFonts w:cs="Times New Roman"/>
                <w:sz w:val="22"/>
              </w:rPr>
              <w:t xml:space="preserve">, kā arī kritērija </w:t>
            </w:r>
            <w:r w:rsidR="00B51A9D" w:rsidRPr="00C477A2">
              <w:rPr>
                <w:rFonts w:cs="Times New Roman"/>
                <w:sz w:val="22"/>
              </w:rPr>
              <w:t xml:space="preserve">piemērošanas skaidrojumā </w:t>
            </w:r>
            <w:r w:rsidR="00B51A9D">
              <w:rPr>
                <w:rFonts w:cs="Times New Roman"/>
                <w:sz w:val="22"/>
              </w:rPr>
              <w:t>norādītas</w:t>
            </w:r>
            <w:r w:rsidR="00B51A9D" w:rsidRPr="00C477A2">
              <w:rPr>
                <w:rFonts w:cs="Times New Roman"/>
                <w:sz w:val="22"/>
              </w:rPr>
              <w:t xml:space="preserve"> tādas HP vispārīgās un specifiskās darbības, kas definētas HP vadlīnijās un KP VIS</w:t>
            </w:r>
            <w:r w:rsidR="00B51A9D">
              <w:rPr>
                <w:rFonts w:cs="Times New Roman"/>
                <w:sz w:val="22"/>
              </w:rPr>
              <w:t>.</w:t>
            </w:r>
            <w:r w:rsidR="0069025B">
              <w:rPr>
                <w:rFonts w:cs="Times New Roman"/>
                <w:sz w:val="22"/>
              </w:rPr>
              <w:t xml:space="preserve"> </w:t>
            </w:r>
            <w:r w:rsidR="008944B4">
              <w:rPr>
                <w:rFonts w:cs="Times New Roman"/>
                <w:sz w:val="22"/>
              </w:rPr>
              <w:t>Savukārt p</w:t>
            </w:r>
            <w:r w:rsidR="0069025B" w:rsidRPr="00C477A2">
              <w:rPr>
                <w:rFonts w:cs="Times New Roman"/>
                <w:sz w:val="22"/>
              </w:rPr>
              <w:t>ie</w:t>
            </w:r>
            <w:r w:rsidR="0069025B">
              <w:rPr>
                <w:rFonts w:cs="Times New Roman"/>
                <w:sz w:val="22"/>
              </w:rPr>
              <w:t xml:space="preserve"> </w:t>
            </w:r>
            <w:r w:rsidR="0069025B" w:rsidRPr="00C477A2">
              <w:rPr>
                <w:rFonts w:cs="Times New Roman"/>
                <w:sz w:val="22"/>
              </w:rPr>
              <w:t>HP darbīb</w:t>
            </w:r>
            <w:r w:rsidR="0069025B">
              <w:rPr>
                <w:rFonts w:cs="Times New Roman"/>
                <w:sz w:val="22"/>
              </w:rPr>
              <w:t>ām, kas izteikta</w:t>
            </w:r>
            <w:r w:rsidR="0069025B" w:rsidRPr="00C477A2">
              <w:rPr>
                <w:rFonts w:cs="Times New Roman"/>
                <w:sz w:val="22"/>
              </w:rPr>
              <w:t xml:space="preserve"> VARAM redakcijā</w:t>
            </w:r>
            <w:r w:rsidR="0069025B">
              <w:rPr>
                <w:rFonts w:cs="Times New Roman"/>
                <w:sz w:val="22"/>
              </w:rPr>
              <w:t>,</w:t>
            </w:r>
            <w:r w:rsidR="0069025B" w:rsidRPr="00C477A2">
              <w:rPr>
                <w:rFonts w:cs="Times New Roman"/>
                <w:sz w:val="22"/>
              </w:rPr>
              <w:t xml:space="preserve">  kritēriju metodikā </w:t>
            </w:r>
            <w:r w:rsidR="0069025B">
              <w:rPr>
                <w:rFonts w:cs="Times New Roman"/>
                <w:sz w:val="22"/>
              </w:rPr>
              <w:t>norādīts</w:t>
            </w:r>
            <w:r w:rsidR="0069025B" w:rsidRPr="00C477A2">
              <w:rPr>
                <w:rFonts w:cs="Times New Roman"/>
                <w:sz w:val="22"/>
              </w:rPr>
              <w:t>, ka darbība ir jāpievieno PI kā “Jauna HP darbība”.</w:t>
            </w:r>
          </w:p>
          <w:p w14:paraId="1CFD7785" w14:textId="2FE65E20" w:rsidR="002A021A" w:rsidRPr="00AE5C15" w:rsidRDefault="002A021A" w:rsidP="00340749">
            <w:pPr>
              <w:pStyle w:val="Standard"/>
              <w:jc w:val="both"/>
              <w:rPr>
                <w:rFonts w:cs="Times New Roman"/>
                <w:sz w:val="22"/>
              </w:rPr>
            </w:pPr>
            <w:r w:rsidRPr="00AE5C15">
              <w:rPr>
                <w:sz w:val="22"/>
              </w:rPr>
              <w:t>Ņemot vērā VARAM skaidrojumu, ka 4.2.4.3. pasākuma mērķis nav tieši vērsts uz HP VINPI mērķu sasniegšanu, bet tā mērķis un īstenošana var netieši veicināt HP VINPI</w:t>
            </w:r>
            <w:r w:rsidRPr="00AE5C15">
              <w:rPr>
                <w:sz w:val="22"/>
                <w:u w:val="single"/>
              </w:rPr>
              <w:t xml:space="preserve">, </w:t>
            </w:r>
            <w:r w:rsidRPr="00AE5C15">
              <w:rPr>
                <w:sz w:val="22"/>
              </w:rPr>
              <w:t>pasākuma ietekme uz HP VINPI vērtējama kā netieša</w:t>
            </w:r>
            <w:r w:rsidR="00A72C39" w:rsidRPr="00AE5C15">
              <w:rPr>
                <w:sz w:val="22"/>
              </w:rPr>
              <w:t>.</w:t>
            </w:r>
            <w:r w:rsidR="00AE5C15">
              <w:rPr>
                <w:sz w:val="22"/>
                <w:u w:val="single"/>
              </w:rPr>
              <w:t xml:space="preserve"> </w:t>
            </w:r>
            <w:r w:rsidR="00AE5C15">
              <w:rPr>
                <w:rFonts w:cs="Times New Roman"/>
                <w:sz w:val="22"/>
              </w:rPr>
              <w:t>Pieeja ir saskaņota ar LM</w:t>
            </w:r>
            <w:r w:rsidR="006D0A16">
              <w:rPr>
                <w:rFonts w:cs="Times New Roman"/>
                <w:sz w:val="22"/>
              </w:rPr>
              <w:t>,</w:t>
            </w:r>
            <w:r w:rsidR="00522C4D">
              <w:rPr>
                <w:rFonts w:cs="Times New Roman"/>
                <w:sz w:val="22"/>
              </w:rPr>
              <w:t xml:space="preserve"> atbilstoši LM norādītajam</w:t>
            </w:r>
            <w:r w:rsidR="00A72C39" w:rsidRPr="00AE5C15">
              <w:rPr>
                <w:rFonts w:cs="Times New Roman"/>
                <w:sz w:val="22"/>
              </w:rPr>
              <w:t xml:space="preserve"> </w:t>
            </w:r>
            <w:r w:rsidR="00272C30" w:rsidRPr="00272C30">
              <w:rPr>
                <w:rFonts w:cs="Times New Roman"/>
                <w:sz w:val="22"/>
              </w:rPr>
              <w:t xml:space="preserve">HP vadlīniju 1.pielikumā tiks veikti attiecīgi grozījumi attiecībā uz </w:t>
            </w:r>
            <w:r w:rsidR="007E4BE6">
              <w:rPr>
                <w:rFonts w:cs="Times New Roman"/>
                <w:sz w:val="22"/>
              </w:rPr>
              <w:t xml:space="preserve">4.2.43. </w:t>
            </w:r>
            <w:r w:rsidR="00272C30" w:rsidRPr="00272C30">
              <w:rPr>
                <w:rFonts w:cs="Times New Roman"/>
                <w:sz w:val="22"/>
              </w:rPr>
              <w:t>pasākuma ietekmes uz HP maiņu 20.06.2024. AK sēdes ietvaros.</w:t>
            </w:r>
          </w:p>
        </w:tc>
        <w:tc>
          <w:tcPr>
            <w:tcW w:w="2790" w:type="dxa"/>
          </w:tcPr>
          <w:p w14:paraId="42DEEACE" w14:textId="77777777" w:rsidR="00340749" w:rsidRPr="000054D9" w:rsidRDefault="00340749" w:rsidP="00340749">
            <w:pPr>
              <w:pStyle w:val="Standard"/>
              <w:jc w:val="both"/>
              <w:rPr>
                <w:rFonts w:cs="Times New Roman"/>
                <w:sz w:val="22"/>
              </w:rPr>
            </w:pPr>
          </w:p>
        </w:tc>
      </w:tr>
      <w:tr w:rsidR="00340749" w:rsidRPr="000054D9" w14:paraId="620727C4" w14:textId="77777777">
        <w:tc>
          <w:tcPr>
            <w:tcW w:w="13948" w:type="dxa"/>
            <w:gridSpan w:val="5"/>
            <w:shd w:val="clear" w:color="auto" w:fill="C5E0B3" w:themeFill="accent6" w:themeFillTint="66"/>
          </w:tcPr>
          <w:p w14:paraId="284B0B8F" w14:textId="6BBBA3ED" w:rsidR="00340749" w:rsidRPr="000054D9" w:rsidRDefault="00340749" w:rsidP="00340749">
            <w:pPr>
              <w:pStyle w:val="Standard"/>
              <w:jc w:val="both"/>
              <w:rPr>
                <w:rFonts w:cs="Times New Roman"/>
                <w:b/>
                <w:bCs/>
                <w:sz w:val="22"/>
              </w:rPr>
            </w:pPr>
            <w:r w:rsidRPr="000054D9">
              <w:rPr>
                <w:rFonts w:cs="Times New Roman"/>
                <w:b/>
                <w:bCs/>
                <w:sz w:val="22"/>
              </w:rPr>
              <w:lastRenderedPageBreak/>
              <w:t>Par kopsavilkumu</w:t>
            </w:r>
          </w:p>
        </w:tc>
      </w:tr>
      <w:tr w:rsidR="00340749" w:rsidRPr="000054D9" w14:paraId="4FD5C402" w14:textId="77777777" w:rsidTr="00941BB3">
        <w:tc>
          <w:tcPr>
            <w:tcW w:w="562" w:type="dxa"/>
          </w:tcPr>
          <w:p w14:paraId="42435075" w14:textId="77777777" w:rsidR="00340749" w:rsidRPr="000054D9" w:rsidRDefault="00340749" w:rsidP="00A57181">
            <w:pPr>
              <w:pStyle w:val="Standard"/>
              <w:numPr>
                <w:ilvl w:val="0"/>
                <w:numId w:val="13"/>
              </w:numPr>
              <w:ind w:hanging="1049"/>
              <w:jc w:val="center"/>
              <w:rPr>
                <w:rFonts w:cs="Times New Roman"/>
                <w:b/>
                <w:bCs/>
                <w:sz w:val="22"/>
              </w:rPr>
            </w:pPr>
          </w:p>
        </w:tc>
        <w:tc>
          <w:tcPr>
            <w:tcW w:w="2694" w:type="dxa"/>
          </w:tcPr>
          <w:p w14:paraId="2B727F3B" w14:textId="2BD26D24" w:rsidR="00340749" w:rsidRPr="000054D9" w:rsidRDefault="00F620AD" w:rsidP="00340749">
            <w:pPr>
              <w:pStyle w:val="Standard"/>
              <w:jc w:val="both"/>
              <w:rPr>
                <w:rFonts w:cs="Times New Roman"/>
                <w:b/>
                <w:bCs/>
                <w:sz w:val="22"/>
              </w:rPr>
            </w:pPr>
            <w:r>
              <w:rPr>
                <w:rFonts w:cs="Times New Roman"/>
                <w:b/>
                <w:bCs/>
                <w:sz w:val="22"/>
              </w:rPr>
              <w:t>III Sasniedzamie rādītāji</w:t>
            </w:r>
          </w:p>
        </w:tc>
        <w:tc>
          <w:tcPr>
            <w:tcW w:w="5112" w:type="dxa"/>
          </w:tcPr>
          <w:p w14:paraId="14A700C0" w14:textId="77777777" w:rsidR="00340749" w:rsidRPr="00F620AD" w:rsidRDefault="00F620AD" w:rsidP="00340749">
            <w:pPr>
              <w:pStyle w:val="Standard"/>
              <w:jc w:val="both"/>
              <w:rPr>
                <w:rFonts w:cs="Times New Roman"/>
                <w:b/>
                <w:bCs/>
                <w:sz w:val="22"/>
              </w:rPr>
            </w:pPr>
            <w:r w:rsidRPr="00F620AD">
              <w:rPr>
                <w:rFonts w:cs="Times New Roman"/>
                <w:b/>
                <w:bCs/>
                <w:sz w:val="22"/>
              </w:rPr>
              <w:t>Finanšu ministrija</w:t>
            </w:r>
          </w:p>
          <w:p w14:paraId="23C291AA" w14:textId="77777777" w:rsidR="00F620AD" w:rsidRDefault="00F620AD" w:rsidP="00340749">
            <w:pPr>
              <w:pStyle w:val="Standard"/>
              <w:jc w:val="both"/>
              <w:rPr>
                <w:rFonts w:cs="Times New Roman"/>
                <w:sz w:val="22"/>
              </w:rPr>
            </w:pPr>
          </w:p>
          <w:p w14:paraId="650BBB43" w14:textId="77777777" w:rsidR="00F620AD" w:rsidRDefault="00F620AD" w:rsidP="00340749">
            <w:pPr>
              <w:pStyle w:val="Standard"/>
              <w:jc w:val="both"/>
              <w:rPr>
                <w:rFonts w:cs="Times New Roman"/>
                <w:sz w:val="22"/>
              </w:rPr>
            </w:pPr>
            <w:r>
              <w:rPr>
                <w:rFonts w:cs="Times New Roman"/>
                <w:sz w:val="22"/>
              </w:rPr>
              <w:t xml:space="preserve">Lūdzam papildināt informāciju par programmas iznākuma rādītāju ar zemsvītras atsauci, ka šobrīd Programmā noteiktā rādītāja vērtība ir 2 000 personas, par kuru Eiropas Komisijā (EK) ir iesniegti grozījumi </w:t>
            </w:r>
            <w:r w:rsidRPr="00F620AD">
              <w:rPr>
                <w:rFonts w:cs="Times New Roman"/>
                <w:sz w:val="22"/>
              </w:rPr>
              <w:t>Eiropas Savienības kohēzijas politikas programm</w:t>
            </w:r>
            <w:r>
              <w:rPr>
                <w:rFonts w:cs="Times New Roman"/>
                <w:sz w:val="22"/>
              </w:rPr>
              <w:t>ā</w:t>
            </w:r>
            <w:r w:rsidRPr="00F620AD">
              <w:rPr>
                <w:rFonts w:cs="Times New Roman"/>
                <w:sz w:val="22"/>
              </w:rPr>
              <w:t xml:space="preserve"> 2021.–2027.gadam</w:t>
            </w:r>
            <w:r>
              <w:rPr>
                <w:rFonts w:cs="Times New Roman"/>
                <w:sz w:val="22"/>
              </w:rPr>
              <w:t>, par kuriem vēl nav saņemts EK gala saskaņojums.</w:t>
            </w:r>
          </w:p>
          <w:p w14:paraId="6287D565" w14:textId="126F3313" w:rsidR="00F620AD" w:rsidRPr="000054D9" w:rsidRDefault="00F620AD" w:rsidP="00340749">
            <w:pPr>
              <w:pStyle w:val="Standard"/>
              <w:jc w:val="both"/>
              <w:rPr>
                <w:rFonts w:cs="Times New Roman"/>
                <w:sz w:val="22"/>
              </w:rPr>
            </w:pPr>
            <w:r>
              <w:rPr>
                <w:rFonts w:cs="Times New Roman"/>
                <w:sz w:val="22"/>
              </w:rPr>
              <w:t>Vienlaikus, lūdzam tehniski precizēt informāciju par nacionālajiem rādītājiem, svītrojot vārdu “rezultāta”.</w:t>
            </w:r>
          </w:p>
        </w:tc>
        <w:tc>
          <w:tcPr>
            <w:tcW w:w="2790" w:type="dxa"/>
          </w:tcPr>
          <w:p w14:paraId="1376A415" w14:textId="77777777" w:rsidR="00340749" w:rsidRPr="00343C4C" w:rsidRDefault="00552922" w:rsidP="00340749">
            <w:pPr>
              <w:pStyle w:val="Standard"/>
              <w:jc w:val="both"/>
              <w:rPr>
                <w:rFonts w:cs="Times New Roman"/>
                <w:b/>
                <w:bCs/>
                <w:sz w:val="22"/>
              </w:rPr>
            </w:pPr>
            <w:r w:rsidRPr="00343C4C">
              <w:rPr>
                <w:rFonts w:cs="Times New Roman"/>
                <w:b/>
                <w:bCs/>
                <w:sz w:val="22"/>
              </w:rPr>
              <w:t>Ņemts vērā</w:t>
            </w:r>
          </w:p>
          <w:p w14:paraId="1012712A" w14:textId="3FEF1E08" w:rsidR="00552922" w:rsidRPr="000054D9" w:rsidRDefault="00552922" w:rsidP="00340749">
            <w:pPr>
              <w:pStyle w:val="Standard"/>
              <w:jc w:val="both"/>
              <w:rPr>
                <w:rFonts w:cs="Times New Roman"/>
                <w:sz w:val="22"/>
              </w:rPr>
            </w:pPr>
            <w:r>
              <w:rPr>
                <w:rFonts w:cs="Times New Roman"/>
                <w:sz w:val="22"/>
              </w:rPr>
              <w:t>Skat. preciz</w:t>
            </w:r>
            <w:r w:rsidR="00343C4C">
              <w:rPr>
                <w:rFonts w:cs="Times New Roman"/>
                <w:sz w:val="22"/>
              </w:rPr>
              <w:t>ēto 4.2.4.3</w:t>
            </w:r>
            <w:r w:rsidR="00B371AE">
              <w:rPr>
                <w:rFonts w:cs="Times New Roman"/>
                <w:sz w:val="22"/>
              </w:rPr>
              <w:t>.</w:t>
            </w:r>
            <w:r w:rsidR="00343C4C">
              <w:rPr>
                <w:rFonts w:cs="Times New Roman"/>
                <w:sz w:val="22"/>
              </w:rPr>
              <w:t xml:space="preserve"> pasākuma kopsavilkumu</w:t>
            </w:r>
            <w:r w:rsidR="00137C5D">
              <w:rPr>
                <w:rFonts w:cs="Times New Roman"/>
                <w:sz w:val="22"/>
              </w:rPr>
              <w:t>.</w:t>
            </w:r>
          </w:p>
        </w:tc>
        <w:tc>
          <w:tcPr>
            <w:tcW w:w="2790" w:type="dxa"/>
          </w:tcPr>
          <w:p w14:paraId="2E8C1A32" w14:textId="77777777" w:rsidR="00340749" w:rsidRPr="000054D9" w:rsidRDefault="00340749" w:rsidP="00340749">
            <w:pPr>
              <w:pStyle w:val="Standard"/>
              <w:jc w:val="both"/>
              <w:rPr>
                <w:rFonts w:cs="Times New Roman"/>
                <w:sz w:val="22"/>
              </w:rPr>
            </w:pPr>
          </w:p>
        </w:tc>
      </w:tr>
      <w:tr w:rsidR="000054D9" w:rsidRPr="000054D9" w14:paraId="102F8E9B" w14:textId="77777777" w:rsidTr="00340749">
        <w:tc>
          <w:tcPr>
            <w:tcW w:w="13948" w:type="dxa"/>
            <w:gridSpan w:val="5"/>
            <w:shd w:val="clear" w:color="auto" w:fill="C5E0B3" w:themeFill="accent6" w:themeFillTint="66"/>
          </w:tcPr>
          <w:p w14:paraId="106BBC9D" w14:textId="6C9AFE91" w:rsidR="000054D9" w:rsidRPr="000054D9" w:rsidRDefault="000054D9" w:rsidP="000054D9">
            <w:pPr>
              <w:pStyle w:val="Standard"/>
              <w:jc w:val="both"/>
              <w:rPr>
                <w:rFonts w:cs="Times New Roman"/>
                <w:b/>
                <w:bCs/>
                <w:sz w:val="22"/>
              </w:rPr>
            </w:pPr>
            <w:r w:rsidRPr="000054D9">
              <w:rPr>
                <w:rFonts w:cs="Times New Roman"/>
                <w:b/>
                <w:bCs/>
                <w:sz w:val="22"/>
              </w:rPr>
              <w:t>Par MK noteikumu anotāciju</w:t>
            </w:r>
          </w:p>
        </w:tc>
      </w:tr>
      <w:tr w:rsidR="000054D9" w:rsidRPr="000054D9" w14:paraId="2AB7E5DE" w14:textId="77777777" w:rsidTr="00941BB3">
        <w:tc>
          <w:tcPr>
            <w:tcW w:w="562" w:type="dxa"/>
          </w:tcPr>
          <w:p w14:paraId="07E4471C" w14:textId="77777777" w:rsidR="000054D9" w:rsidRPr="000054D9" w:rsidRDefault="000054D9" w:rsidP="000054D9">
            <w:pPr>
              <w:pStyle w:val="Standard"/>
              <w:numPr>
                <w:ilvl w:val="0"/>
                <w:numId w:val="13"/>
              </w:numPr>
              <w:ind w:hanging="1049"/>
              <w:jc w:val="center"/>
              <w:rPr>
                <w:rFonts w:cs="Times New Roman"/>
                <w:b/>
                <w:bCs/>
                <w:sz w:val="22"/>
              </w:rPr>
            </w:pPr>
          </w:p>
        </w:tc>
        <w:tc>
          <w:tcPr>
            <w:tcW w:w="2694" w:type="dxa"/>
          </w:tcPr>
          <w:p w14:paraId="5B88A1BC" w14:textId="007F89B4" w:rsidR="000054D9" w:rsidRPr="000054D9" w:rsidRDefault="00C477A2" w:rsidP="000054D9">
            <w:pPr>
              <w:pStyle w:val="Standard"/>
              <w:jc w:val="both"/>
              <w:rPr>
                <w:rFonts w:cs="Times New Roman"/>
                <w:b/>
                <w:bCs/>
                <w:sz w:val="22"/>
              </w:rPr>
            </w:pPr>
            <w:r>
              <w:rPr>
                <w:rFonts w:cs="Times New Roman"/>
                <w:b/>
                <w:bCs/>
                <w:sz w:val="22"/>
              </w:rPr>
              <w:t>Vispārīgi</w:t>
            </w:r>
          </w:p>
        </w:tc>
        <w:tc>
          <w:tcPr>
            <w:tcW w:w="5112" w:type="dxa"/>
          </w:tcPr>
          <w:p w14:paraId="02030056" w14:textId="77777777" w:rsidR="000054D9" w:rsidRPr="00C477A2" w:rsidRDefault="00C477A2" w:rsidP="000054D9">
            <w:pPr>
              <w:pStyle w:val="Standard"/>
              <w:jc w:val="both"/>
              <w:rPr>
                <w:rFonts w:cs="Times New Roman"/>
                <w:b/>
                <w:bCs/>
                <w:sz w:val="22"/>
              </w:rPr>
            </w:pPr>
            <w:r w:rsidRPr="00C477A2">
              <w:rPr>
                <w:rFonts w:cs="Times New Roman"/>
                <w:b/>
                <w:bCs/>
                <w:sz w:val="22"/>
              </w:rPr>
              <w:t>Valsts kanceleja</w:t>
            </w:r>
          </w:p>
          <w:p w14:paraId="0BFBB80C" w14:textId="77777777" w:rsidR="00C477A2" w:rsidRDefault="00C477A2" w:rsidP="000054D9">
            <w:pPr>
              <w:pStyle w:val="Standard"/>
              <w:jc w:val="both"/>
              <w:rPr>
                <w:rFonts w:cs="Times New Roman"/>
                <w:sz w:val="22"/>
              </w:rPr>
            </w:pPr>
          </w:p>
          <w:p w14:paraId="23B19BB7" w14:textId="35381AF4" w:rsidR="00C477A2" w:rsidRPr="000054D9" w:rsidRDefault="00C477A2" w:rsidP="000054D9">
            <w:pPr>
              <w:pStyle w:val="Standard"/>
              <w:jc w:val="both"/>
              <w:rPr>
                <w:rFonts w:cs="Times New Roman"/>
                <w:sz w:val="22"/>
              </w:rPr>
            </w:pPr>
            <w:r w:rsidRPr="00C477A2">
              <w:rPr>
                <w:rFonts w:cs="Times New Roman"/>
                <w:sz w:val="22"/>
              </w:rPr>
              <w:t>Anotācijas sadaļas “1.3. Pašreizējā situācija, problēmas un risinājumi” apakšsadaļā “Risinājuma apraksts” (3.lp) minēts, ka  “Plānotie ieguldījumi nodarbināto personu izglītošanā sniegs ieguldījumu NAP noteiktā mērķa "Digitālo risinājumu izmantošanas veicināšana, paaugstinot iedzīvotāju digitālās prasmes" sasniegšanā [..]”. Minētais teksts nav NAP2027 mērķis, bet gan citāts no [317] uzdevuma. Lūdzam precizēt (piemēram, norādot NAP mērķi “[145] Izglītības kvalitāte uzņēmējdarbībā un dzīvē izmantojamu zināšanu un prasmju ieguvei ikvienam valsts iedzīvotājam” vai “[295] Digitalizējot transformēta publiskā pārvalde, racionāli pārvaldīta organizatoriskā un tehnoloģiskā ekosistēma, kas ir iekšēji integrēta un ārēji atvērta kopīgas vērtības radīšanai, inovācijām un lietotājorientētai pieejai publisko pakalpojumu sniegšanā fiziskajā un digitālajā vidē”).</w:t>
            </w:r>
          </w:p>
        </w:tc>
        <w:tc>
          <w:tcPr>
            <w:tcW w:w="2790" w:type="dxa"/>
          </w:tcPr>
          <w:p w14:paraId="6FAF7CF7" w14:textId="6F158EF1" w:rsidR="000054D9" w:rsidRPr="000054D9" w:rsidRDefault="00FC506B" w:rsidP="000054D9">
            <w:pPr>
              <w:pStyle w:val="Standard"/>
              <w:jc w:val="both"/>
              <w:rPr>
                <w:rFonts w:cs="Times New Roman"/>
                <w:sz w:val="22"/>
              </w:rPr>
            </w:pPr>
            <w:r w:rsidRPr="00B61220">
              <w:rPr>
                <w:rFonts w:cs="Times New Roman"/>
                <w:sz w:val="22"/>
              </w:rPr>
              <w:t>Komentāri tiks izskatīti TAP procesa ietvaros.</w:t>
            </w:r>
          </w:p>
        </w:tc>
        <w:tc>
          <w:tcPr>
            <w:tcW w:w="2790" w:type="dxa"/>
          </w:tcPr>
          <w:p w14:paraId="3A5A067E" w14:textId="77777777" w:rsidR="000054D9" w:rsidRPr="000054D9" w:rsidRDefault="000054D9" w:rsidP="000054D9">
            <w:pPr>
              <w:pStyle w:val="Standard"/>
              <w:jc w:val="both"/>
              <w:rPr>
                <w:rFonts w:cs="Times New Roman"/>
                <w:sz w:val="22"/>
              </w:rPr>
            </w:pPr>
          </w:p>
        </w:tc>
      </w:tr>
      <w:tr w:rsidR="000054D9" w:rsidRPr="000054D9" w14:paraId="3B77E11E" w14:textId="77777777" w:rsidTr="00941BB3">
        <w:tc>
          <w:tcPr>
            <w:tcW w:w="562" w:type="dxa"/>
          </w:tcPr>
          <w:p w14:paraId="42D5406C" w14:textId="77777777" w:rsidR="000054D9" w:rsidRPr="000054D9" w:rsidRDefault="000054D9" w:rsidP="000054D9">
            <w:pPr>
              <w:pStyle w:val="Standard"/>
              <w:numPr>
                <w:ilvl w:val="0"/>
                <w:numId w:val="13"/>
              </w:numPr>
              <w:ind w:hanging="1049"/>
              <w:jc w:val="center"/>
              <w:rPr>
                <w:rFonts w:cs="Times New Roman"/>
                <w:b/>
                <w:bCs/>
                <w:sz w:val="22"/>
              </w:rPr>
            </w:pPr>
          </w:p>
        </w:tc>
        <w:tc>
          <w:tcPr>
            <w:tcW w:w="2694" w:type="dxa"/>
          </w:tcPr>
          <w:p w14:paraId="0A153D17" w14:textId="6B25477D" w:rsidR="000054D9" w:rsidRPr="000054D9" w:rsidRDefault="00C477A2" w:rsidP="000054D9">
            <w:pPr>
              <w:pStyle w:val="Standard"/>
              <w:jc w:val="both"/>
              <w:rPr>
                <w:rFonts w:cs="Times New Roman"/>
                <w:b/>
                <w:bCs/>
                <w:sz w:val="22"/>
              </w:rPr>
            </w:pPr>
            <w:r>
              <w:rPr>
                <w:rFonts w:cs="Times New Roman"/>
                <w:b/>
                <w:bCs/>
                <w:sz w:val="22"/>
              </w:rPr>
              <w:t>Vispārīgi</w:t>
            </w:r>
          </w:p>
        </w:tc>
        <w:tc>
          <w:tcPr>
            <w:tcW w:w="5112" w:type="dxa"/>
          </w:tcPr>
          <w:p w14:paraId="34EECA43" w14:textId="77777777" w:rsidR="00C477A2" w:rsidRPr="00C477A2" w:rsidRDefault="00C477A2" w:rsidP="00C477A2">
            <w:pPr>
              <w:pStyle w:val="Standard"/>
              <w:jc w:val="both"/>
              <w:rPr>
                <w:rFonts w:cs="Times New Roman"/>
                <w:b/>
                <w:bCs/>
                <w:sz w:val="22"/>
              </w:rPr>
            </w:pPr>
            <w:r w:rsidRPr="00C477A2">
              <w:rPr>
                <w:rFonts w:cs="Times New Roman"/>
                <w:b/>
                <w:bCs/>
                <w:sz w:val="22"/>
              </w:rPr>
              <w:t>Valsts kanceleja</w:t>
            </w:r>
          </w:p>
          <w:p w14:paraId="47D2449B" w14:textId="77777777" w:rsidR="00C477A2" w:rsidRDefault="00C477A2" w:rsidP="00C477A2">
            <w:pPr>
              <w:pStyle w:val="Standard"/>
              <w:jc w:val="both"/>
              <w:rPr>
                <w:rFonts w:cs="Times New Roman"/>
                <w:sz w:val="22"/>
              </w:rPr>
            </w:pPr>
          </w:p>
          <w:p w14:paraId="6BD54444" w14:textId="442D4E3A" w:rsidR="000054D9" w:rsidRPr="000054D9" w:rsidRDefault="00C477A2" w:rsidP="000054D9">
            <w:pPr>
              <w:pStyle w:val="Standard"/>
              <w:jc w:val="both"/>
              <w:rPr>
                <w:rFonts w:cs="Times New Roman"/>
                <w:sz w:val="22"/>
              </w:rPr>
            </w:pPr>
            <w:r w:rsidRPr="00C477A2">
              <w:rPr>
                <w:rFonts w:cs="Times New Roman"/>
                <w:sz w:val="22"/>
              </w:rPr>
              <w:t>Anotācijas sadaļas “1.3. Pašreizējā situācija, problēmas un risinājumi” apakšsadaļā “Risinājuma apraksts” (4.lp) minēts, ka  “4.2.4.3. pasākuma ietvaros plānotie pasākumi veicinās Digitālās transformācijas pamatnostādnēs 2021.–2027. gadam noteiktā rīcības virziena “Sabiedrības digitālo prasmju attīstība no pamatprasmēm līdz augsta līmeņa prasmēm” mērķu sasniegšanu, sniedzot ieguldījumu pamatnostādnēs noteikto minētā rīcības virziena uzdevumu izpildē”. Vēršam uzmanību, ka Digitālās transformācijas pamatnostādnēs katram rīcības virzienam nav definēts mērķis, bet ir norādīts ‘sagaidāmais rezultāts”, uz kuru var atsaukties (piemēram: “4. Attīstīts kvalitatīvs un visaptverošs VPVKAC un digitālo aģentu un līderu tīkls atbalsta un iedrošina dažādas sabiedrības grupas digitālo pamatprasmju apguvē, valsts pārvaldes elektronisko risinājumu izmantošanā, kā arī caur digitālo prasmju pilnveidi uzlabo vietējo kopienu dzīves kvalitāti”).  Lūdzam precizēt un norādīt konkrētus pamatnostādņu uzdevumus, kuru izpildē tiks sniegts ieguldījums. Kā arī, lūdzam konkretizēt tos pamatnostādņu mērķu izpildes indiktorus, kuru vērtības tiks uzlabotas (piemēram, “RR4.1.-1-1 Iedzīvotāji, kam digitālās prasmes ir vismaz pamatlīmenī, %” vai “RR4.1.-1-2 Iedzīvotāji, kam digitālās prasmes ir virs pamatlīmeņa, %”), pēc iespējas prognozējot ietekmes kvantitatīvo vērtību.</w:t>
            </w:r>
          </w:p>
        </w:tc>
        <w:tc>
          <w:tcPr>
            <w:tcW w:w="2790" w:type="dxa"/>
          </w:tcPr>
          <w:p w14:paraId="6FA8C548" w14:textId="23855016" w:rsidR="000054D9" w:rsidRPr="000054D9" w:rsidRDefault="00FC506B" w:rsidP="000054D9">
            <w:pPr>
              <w:pStyle w:val="Standard"/>
              <w:jc w:val="both"/>
              <w:rPr>
                <w:rFonts w:cs="Times New Roman"/>
                <w:sz w:val="22"/>
              </w:rPr>
            </w:pPr>
            <w:r w:rsidRPr="00B61220">
              <w:rPr>
                <w:rFonts w:cs="Times New Roman"/>
                <w:sz w:val="22"/>
              </w:rPr>
              <w:t>Komentāri tiks izskatīti TAP procesa ietvaros.</w:t>
            </w:r>
          </w:p>
        </w:tc>
        <w:tc>
          <w:tcPr>
            <w:tcW w:w="2790" w:type="dxa"/>
          </w:tcPr>
          <w:p w14:paraId="38A5609B" w14:textId="77777777" w:rsidR="000054D9" w:rsidRPr="000054D9" w:rsidRDefault="000054D9" w:rsidP="000054D9">
            <w:pPr>
              <w:pStyle w:val="Standard"/>
              <w:jc w:val="both"/>
              <w:rPr>
                <w:rFonts w:cs="Times New Roman"/>
                <w:sz w:val="22"/>
              </w:rPr>
            </w:pPr>
          </w:p>
        </w:tc>
      </w:tr>
      <w:tr w:rsidR="00C477A2" w:rsidRPr="000054D9" w14:paraId="59647276" w14:textId="77777777" w:rsidTr="00941BB3">
        <w:tc>
          <w:tcPr>
            <w:tcW w:w="562" w:type="dxa"/>
          </w:tcPr>
          <w:p w14:paraId="2D2231B2" w14:textId="77777777" w:rsidR="00C477A2" w:rsidRPr="000054D9" w:rsidRDefault="00C477A2" w:rsidP="000054D9">
            <w:pPr>
              <w:pStyle w:val="Standard"/>
              <w:numPr>
                <w:ilvl w:val="0"/>
                <w:numId w:val="13"/>
              </w:numPr>
              <w:ind w:hanging="1049"/>
              <w:jc w:val="center"/>
              <w:rPr>
                <w:b/>
                <w:bCs/>
                <w:sz w:val="22"/>
              </w:rPr>
            </w:pPr>
          </w:p>
        </w:tc>
        <w:tc>
          <w:tcPr>
            <w:tcW w:w="2694" w:type="dxa"/>
          </w:tcPr>
          <w:p w14:paraId="13D95741" w14:textId="1034736F" w:rsidR="00C477A2" w:rsidRPr="000054D9" w:rsidRDefault="00C477A2" w:rsidP="000054D9">
            <w:pPr>
              <w:pStyle w:val="Standard"/>
              <w:jc w:val="both"/>
              <w:rPr>
                <w:b/>
                <w:bCs/>
                <w:sz w:val="22"/>
              </w:rPr>
            </w:pPr>
            <w:r>
              <w:rPr>
                <w:rFonts w:cs="Times New Roman"/>
                <w:b/>
                <w:bCs/>
                <w:sz w:val="22"/>
              </w:rPr>
              <w:t>Vispārīgi</w:t>
            </w:r>
          </w:p>
        </w:tc>
        <w:tc>
          <w:tcPr>
            <w:tcW w:w="5112" w:type="dxa"/>
          </w:tcPr>
          <w:p w14:paraId="689EC719" w14:textId="77777777" w:rsidR="00C477A2" w:rsidRPr="00C477A2" w:rsidRDefault="00C477A2" w:rsidP="00C477A2">
            <w:pPr>
              <w:pStyle w:val="Standard"/>
              <w:jc w:val="both"/>
              <w:rPr>
                <w:rFonts w:cs="Times New Roman"/>
                <w:b/>
                <w:bCs/>
                <w:sz w:val="22"/>
              </w:rPr>
            </w:pPr>
            <w:r w:rsidRPr="00C477A2">
              <w:rPr>
                <w:rFonts w:cs="Times New Roman"/>
                <w:b/>
                <w:bCs/>
                <w:sz w:val="22"/>
              </w:rPr>
              <w:t>Valsts kanceleja</w:t>
            </w:r>
          </w:p>
          <w:p w14:paraId="2E48ED4A" w14:textId="77777777" w:rsidR="00C477A2" w:rsidRDefault="00C477A2" w:rsidP="00C477A2">
            <w:pPr>
              <w:pStyle w:val="Standard"/>
              <w:jc w:val="both"/>
              <w:rPr>
                <w:rFonts w:cs="Times New Roman"/>
                <w:sz w:val="22"/>
              </w:rPr>
            </w:pPr>
          </w:p>
          <w:p w14:paraId="13F50712" w14:textId="7333D7F7" w:rsidR="00C477A2" w:rsidRPr="00C477A2" w:rsidRDefault="00C477A2" w:rsidP="000054D9">
            <w:pPr>
              <w:pStyle w:val="Standard"/>
              <w:jc w:val="both"/>
              <w:rPr>
                <w:sz w:val="22"/>
              </w:rPr>
            </w:pPr>
            <w:r w:rsidRPr="00C477A2">
              <w:rPr>
                <w:sz w:val="22"/>
              </w:rPr>
              <w:t xml:space="preserve">Anotācijas sadaļā “8.1.4. uz Nacionālā attīstības plāna rādītājiem” norādīts “Jā”, proti, ka projekts ietekmē NAP rādītājus, taču apakšsadaļa “Apraksts” sniegtais teksts  minēto apgalvojumu neskaidro. Vēršam uzmanību, ka teksts “Digitālo risinājumu izmantošanas veicināšana, paaugstinot iedzīvotāju digitālās prasmes” nav NAP mērķis, bet gan citāts no 317.uzdevuma. </w:t>
            </w:r>
            <w:r w:rsidRPr="00C477A2">
              <w:rPr>
                <w:sz w:val="22"/>
              </w:rPr>
              <w:lastRenderedPageBreak/>
              <w:t>Turklāt apakšsadaļa paredzēta, lai norāditu projekta tezultātā ietekmētos rādītājus (nevis mērķus vai uzdevumus). Lūdzam precizēt anotāciju, norādot konkrētos NAP rādītājus, kas tiks ietekmēti projekta rezultātā, pēc iespējas norādot arī rādītāja izmaiņas kvantitatīvi (piemēram var norādīt NAP rāditāju “[307]  Digitālās ekonomikas un sabiedrības indekss (DESI)” vai “[170] 25–64 gadus veci pieaugušie, kuri pēdējo 12 mēnešu laikā piedalījušies formālajā vai neformālajā izglītībā/mācībās, %” vai  “[162] 16–74 gadus vecu personu īpatsvars, kurām ir pamata un augstākas digitālās prasmes, %”.</w:t>
            </w:r>
          </w:p>
        </w:tc>
        <w:tc>
          <w:tcPr>
            <w:tcW w:w="2790" w:type="dxa"/>
          </w:tcPr>
          <w:p w14:paraId="3A1D08B1" w14:textId="0C2F3A42" w:rsidR="00C477A2" w:rsidRPr="000054D9" w:rsidRDefault="00FC506B" w:rsidP="000054D9">
            <w:pPr>
              <w:pStyle w:val="Standard"/>
              <w:jc w:val="both"/>
              <w:rPr>
                <w:sz w:val="22"/>
              </w:rPr>
            </w:pPr>
            <w:r w:rsidRPr="00B61220">
              <w:rPr>
                <w:rFonts w:cs="Times New Roman"/>
                <w:sz w:val="22"/>
              </w:rPr>
              <w:lastRenderedPageBreak/>
              <w:t>Komentāri tiks izskatīti TAP procesa ietvaros.</w:t>
            </w:r>
          </w:p>
        </w:tc>
        <w:tc>
          <w:tcPr>
            <w:tcW w:w="2790" w:type="dxa"/>
          </w:tcPr>
          <w:p w14:paraId="06E34F43" w14:textId="77777777" w:rsidR="00C477A2" w:rsidRPr="000054D9" w:rsidRDefault="00C477A2" w:rsidP="000054D9">
            <w:pPr>
              <w:pStyle w:val="Standard"/>
              <w:jc w:val="both"/>
              <w:rPr>
                <w:sz w:val="22"/>
              </w:rPr>
            </w:pPr>
          </w:p>
        </w:tc>
      </w:tr>
      <w:tr w:rsidR="00C477A2" w:rsidRPr="000054D9" w14:paraId="630AF755" w14:textId="77777777" w:rsidTr="00941BB3">
        <w:tc>
          <w:tcPr>
            <w:tcW w:w="562" w:type="dxa"/>
          </w:tcPr>
          <w:p w14:paraId="41F5B042" w14:textId="77777777" w:rsidR="00C477A2" w:rsidRPr="000054D9" w:rsidRDefault="00C477A2" w:rsidP="000054D9">
            <w:pPr>
              <w:pStyle w:val="Standard"/>
              <w:numPr>
                <w:ilvl w:val="0"/>
                <w:numId w:val="13"/>
              </w:numPr>
              <w:ind w:hanging="1049"/>
              <w:jc w:val="center"/>
              <w:rPr>
                <w:b/>
                <w:bCs/>
                <w:sz w:val="22"/>
              </w:rPr>
            </w:pPr>
          </w:p>
        </w:tc>
        <w:tc>
          <w:tcPr>
            <w:tcW w:w="2694" w:type="dxa"/>
          </w:tcPr>
          <w:p w14:paraId="0977A13B" w14:textId="473D27E4" w:rsidR="00C477A2" w:rsidRPr="000054D9" w:rsidRDefault="00C477A2" w:rsidP="000054D9">
            <w:pPr>
              <w:pStyle w:val="Standard"/>
              <w:jc w:val="both"/>
              <w:rPr>
                <w:b/>
                <w:bCs/>
                <w:sz w:val="22"/>
              </w:rPr>
            </w:pPr>
            <w:r>
              <w:rPr>
                <w:rFonts w:cs="Times New Roman"/>
                <w:b/>
                <w:bCs/>
                <w:sz w:val="22"/>
              </w:rPr>
              <w:t>Vispārīgi</w:t>
            </w:r>
          </w:p>
        </w:tc>
        <w:tc>
          <w:tcPr>
            <w:tcW w:w="5112" w:type="dxa"/>
          </w:tcPr>
          <w:p w14:paraId="3EC3F63E" w14:textId="77777777" w:rsidR="00C477A2" w:rsidRPr="00C477A2" w:rsidRDefault="00C477A2" w:rsidP="00C477A2">
            <w:pPr>
              <w:pStyle w:val="Standard"/>
              <w:jc w:val="both"/>
              <w:rPr>
                <w:rFonts w:cs="Times New Roman"/>
                <w:b/>
                <w:bCs/>
                <w:sz w:val="22"/>
              </w:rPr>
            </w:pPr>
            <w:r w:rsidRPr="00C477A2">
              <w:rPr>
                <w:rFonts w:cs="Times New Roman"/>
                <w:b/>
                <w:bCs/>
                <w:sz w:val="22"/>
              </w:rPr>
              <w:t>Valsts kanceleja</w:t>
            </w:r>
          </w:p>
          <w:p w14:paraId="7ECA7180" w14:textId="77777777" w:rsidR="00C477A2" w:rsidRDefault="00C477A2" w:rsidP="00C477A2">
            <w:pPr>
              <w:pStyle w:val="Standard"/>
              <w:jc w:val="both"/>
              <w:rPr>
                <w:rFonts w:cs="Times New Roman"/>
                <w:sz w:val="22"/>
              </w:rPr>
            </w:pPr>
          </w:p>
          <w:p w14:paraId="4D711253" w14:textId="00D051E7" w:rsidR="00C477A2" w:rsidRPr="00C477A2" w:rsidRDefault="00C477A2" w:rsidP="000054D9">
            <w:pPr>
              <w:pStyle w:val="Standard"/>
              <w:jc w:val="both"/>
              <w:rPr>
                <w:sz w:val="22"/>
              </w:rPr>
            </w:pPr>
            <w:r w:rsidRPr="00C477A2">
              <w:rPr>
                <w:sz w:val="22"/>
              </w:rPr>
              <w:t>Projekta iesnieguma vērtēšanas kritēriju piemērošanas metodikas 1.8.punkta piemērošanas skaidrojumā nav kotekti minēts NAP mērķis. Citētais teksts “fiziskās un digitālās vides pieejamības un piekļūstamības palielināšana valsts un pašvaldību infrastruktūrā, kā arī digitālo risinājumu izmantošanas veicināšana, paaugstinot iedzīvotāju digitālās prasmes, pilnveidojot elektroniskās identifikācijas un drošas elektroniskās parakstīšanās sistēmu un nodrošinot vides pieejamību kvalitatīvai pakalpojumu sniegšanai” ir NAP [317].uzdevums. Lūdzam koriģēt, vai nu norādot, ka projektā plānotās darbūbas ir vērstas uz NAP uzdevuma izpildi, vai citējot rīcības virziena “Tehnoloģiskā vide un pakalpojumi” mērķi: “Digitalizējot transformēta publiskā pārvalde, racionāli pārvaldīta organizatoriskā un tehnoloģiskā ekosistēma, kas ir iekšēji integrēta un ārēji atvērta kopīgas vērtības radīšanai, inovācijām un lietotājorientētai pieejai publisko pakalpojumu sniegšanā fiziskajā un digitālajā vidē”.</w:t>
            </w:r>
          </w:p>
        </w:tc>
        <w:tc>
          <w:tcPr>
            <w:tcW w:w="2790" w:type="dxa"/>
          </w:tcPr>
          <w:p w14:paraId="05D8D558" w14:textId="3194A37A" w:rsidR="00C477A2" w:rsidRPr="000054D9" w:rsidRDefault="00901199" w:rsidP="000054D9">
            <w:pPr>
              <w:pStyle w:val="Standard"/>
              <w:jc w:val="both"/>
              <w:rPr>
                <w:sz w:val="22"/>
              </w:rPr>
            </w:pPr>
            <w:r w:rsidRPr="00817FF1">
              <w:rPr>
                <w:b/>
                <w:sz w:val="22"/>
              </w:rPr>
              <w:t>Ņemts vērā</w:t>
            </w:r>
          </w:p>
        </w:tc>
        <w:tc>
          <w:tcPr>
            <w:tcW w:w="2790" w:type="dxa"/>
          </w:tcPr>
          <w:p w14:paraId="6A7D469D" w14:textId="77777777" w:rsidR="00C477A2" w:rsidRPr="000054D9" w:rsidRDefault="00C477A2" w:rsidP="000054D9">
            <w:pPr>
              <w:pStyle w:val="Standard"/>
              <w:jc w:val="both"/>
              <w:rPr>
                <w:sz w:val="22"/>
              </w:rPr>
            </w:pPr>
          </w:p>
        </w:tc>
      </w:tr>
      <w:tr w:rsidR="00C477A2" w:rsidRPr="000054D9" w14:paraId="08DCB1D5" w14:textId="77777777" w:rsidTr="00941BB3">
        <w:tc>
          <w:tcPr>
            <w:tcW w:w="562" w:type="dxa"/>
          </w:tcPr>
          <w:p w14:paraId="4A1029F5" w14:textId="77777777" w:rsidR="00C477A2" w:rsidRPr="000054D9" w:rsidRDefault="00C477A2" w:rsidP="000054D9">
            <w:pPr>
              <w:pStyle w:val="Standard"/>
              <w:numPr>
                <w:ilvl w:val="0"/>
                <w:numId w:val="13"/>
              </w:numPr>
              <w:ind w:hanging="1049"/>
              <w:jc w:val="center"/>
              <w:rPr>
                <w:b/>
                <w:bCs/>
                <w:sz w:val="22"/>
              </w:rPr>
            </w:pPr>
          </w:p>
        </w:tc>
        <w:tc>
          <w:tcPr>
            <w:tcW w:w="2694" w:type="dxa"/>
          </w:tcPr>
          <w:p w14:paraId="69268367" w14:textId="10302302" w:rsidR="00C477A2" w:rsidRPr="000054D9" w:rsidRDefault="00C477A2" w:rsidP="000054D9">
            <w:pPr>
              <w:pStyle w:val="Standard"/>
              <w:jc w:val="both"/>
              <w:rPr>
                <w:b/>
                <w:bCs/>
                <w:sz w:val="22"/>
              </w:rPr>
            </w:pPr>
            <w:r>
              <w:rPr>
                <w:rFonts w:cs="Times New Roman"/>
                <w:b/>
                <w:bCs/>
                <w:sz w:val="22"/>
              </w:rPr>
              <w:t>Vispārīgi</w:t>
            </w:r>
          </w:p>
        </w:tc>
        <w:tc>
          <w:tcPr>
            <w:tcW w:w="5112" w:type="dxa"/>
          </w:tcPr>
          <w:p w14:paraId="3771388E" w14:textId="77777777" w:rsidR="00C477A2" w:rsidRPr="00C477A2" w:rsidRDefault="00C477A2" w:rsidP="00C477A2">
            <w:pPr>
              <w:pStyle w:val="Standard"/>
              <w:jc w:val="both"/>
              <w:rPr>
                <w:rFonts w:cs="Times New Roman"/>
                <w:b/>
                <w:bCs/>
                <w:sz w:val="22"/>
              </w:rPr>
            </w:pPr>
            <w:r w:rsidRPr="00C477A2">
              <w:rPr>
                <w:rFonts w:cs="Times New Roman"/>
                <w:b/>
                <w:bCs/>
                <w:sz w:val="22"/>
              </w:rPr>
              <w:t>Valsts kanceleja</w:t>
            </w:r>
          </w:p>
          <w:p w14:paraId="0D937F93" w14:textId="77777777" w:rsidR="00C477A2" w:rsidRDefault="00C477A2" w:rsidP="00C477A2">
            <w:pPr>
              <w:pStyle w:val="Standard"/>
              <w:jc w:val="both"/>
              <w:rPr>
                <w:rFonts w:cs="Times New Roman"/>
                <w:sz w:val="22"/>
              </w:rPr>
            </w:pPr>
          </w:p>
          <w:p w14:paraId="058BF9BD" w14:textId="3F0E0D7D" w:rsidR="00C477A2" w:rsidRPr="00C477A2" w:rsidRDefault="00C477A2" w:rsidP="000054D9">
            <w:pPr>
              <w:pStyle w:val="Standard"/>
              <w:jc w:val="both"/>
              <w:rPr>
                <w:sz w:val="22"/>
              </w:rPr>
            </w:pPr>
            <w:r w:rsidRPr="00C477A2">
              <w:rPr>
                <w:sz w:val="22"/>
              </w:rPr>
              <w:t xml:space="preserve">Lūdzam pārskatīt projekta pamatojošo datu izvēli Anotācijas sadaļas “1.3. Pašreizējā situācija, problēmas un risinājumi” apakšsadaļā “Problēmas apraksts”, kur </w:t>
            </w:r>
            <w:r w:rsidRPr="00C477A2">
              <w:rPr>
                <w:sz w:val="22"/>
              </w:rPr>
              <w:lastRenderedPageBreak/>
              <w:t>norādīti dati par VSAA iesniegumu skaitu. Vēršam uzmanību, ka VSAA iesniegumus var iesniegt par 30 tematiem (pārsvarā par pabalstiem), attiecīgi dati par ieniegumu sniegšanu elektroniskā formā ne tik daudz liecina par iedzīvotāju prasmēm un vēlmi lietot e-pakalpojumus, bet par pieaugošo nepieciešamību pēc dažādu pabalstu pieprasīšanas. Turklāt formulējums “pakalpojums uzsākts” neliecina, ka pakalpojuma pieprasīšana veikmīgi notikusi.</w:t>
            </w:r>
          </w:p>
        </w:tc>
        <w:tc>
          <w:tcPr>
            <w:tcW w:w="2790" w:type="dxa"/>
          </w:tcPr>
          <w:p w14:paraId="65F869AD" w14:textId="3A126FC0" w:rsidR="00C477A2" w:rsidRPr="000054D9" w:rsidRDefault="00FC506B" w:rsidP="000054D9">
            <w:pPr>
              <w:pStyle w:val="Standard"/>
              <w:jc w:val="both"/>
              <w:rPr>
                <w:sz w:val="22"/>
              </w:rPr>
            </w:pPr>
            <w:r w:rsidRPr="00B61220">
              <w:rPr>
                <w:rFonts w:cs="Times New Roman"/>
                <w:sz w:val="22"/>
              </w:rPr>
              <w:lastRenderedPageBreak/>
              <w:t>Komentāri tiks izskatīti TAP procesa ietvaros.</w:t>
            </w:r>
          </w:p>
        </w:tc>
        <w:tc>
          <w:tcPr>
            <w:tcW w:w="2790" w:type="dxa"/>
          </w:tcPr>
          <w:p w14:paraId="05FAFD86" w14:textId="77777777" w:rsidR="00C477A2" w:rsidRPr="000054D9" w:rsidRDefault="00C477A2" w:rsidP="000054D9">
            <w:pPr>
              <w:pStyle w:val="Standard"/>
              <w:jc w:val="both"/>
              <w:rPr>
                <w:sz w:val="22"/>
              </w:rPr>
            </w:pPr>
          </w:p>
        </w:tc>
      </w:tr>
    </w:tbl>
    <w:p w14:paraId="69EB424D" w14:textId="77777777" w:rsidR="0095483D" w:rsidRDefault="0095483D" w:rsidP="00255F9C"/>
    <w:sectPr w:rsidR="0095483D" w:rsidSect="00A57181">
      <w:headerReference w:type="default" r:id="rId11"/>
      <w:footerReference w:type="default" r:id="rId12"/>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93784" w14:textId="77777777" w:rsidR="001423C2" w:rsidRDefault="001423C2" w:rsidP="00137F01">
      <w:r>
        <w:separator/>
      </w:r>
    </w:p>
  </w:endnote>
  <w:endnote w:type="continuationSeparator" w:id="0">
    <w:p w14:paraId="387EEFD5" w14:textId="77777777" w:rsidR="001423C2" w:rsidRDefault="001423C2" w:rsidP="00137F01">
      <w:r>
        <w:continuationSeparator/>
      </w:r>
    </w:p>
  </w:endnote>
  <w:endnote w:type="continuationNotice" w:id="1">
    <w:p w14:paraId="028E0FB3" w14:textId="77777777" w:rsidR="001423C2" w:rsidRDefault="00142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540398"/>
      <w:docPartObj>
        <w:docPartGallery w:val="Page Numbers (Bottom of Page)"/>
        <w:docPartUnique/>
      </w:docPartObj>
    </w:sdtPr>
    <w:sdtEndPr>
      <w:rPr>
        <w:noProof/>
      </w:rPr>
    </w:sdtEndPr>
    <w:sdtContent>
      <w:p w14:paraId="717C0BD6" w14:textId="1EFABF2C" w:rsidR="00A57181" w:rsidRDefault="00A57181">
        <w:pPr>
          <w:pStyle w:val="Footer"/>
          <w:jc w:val="center"/>
        </w:pPr>
        <w:r>
          <w:fldChar w:fldCharType="begin"/>
        </w:r>
        <w:r>
          <w:instrText xml:space="preserve"> PAGE   \* MERGEFORMAT </w:instrText>
        </w:r>
        <w:r>
          <w:fldChar w:fldCharType="separate"/>
        </w:r>
        <w:r w:rsidR="00041E01">
          <w:rPr>
            <w:noProof/>
          </w:rPr>
          <w:t>1</w:t>
        </w:r>
        <w:r>
          <w:rPr>
            <w:noProof/>
          </w:rPr>
          <w:fldChar w:fldCharType="end"/>
        </w:r>
      </w:p>
    </w:sdtContent>
  </w:sdt>
  <w:p w14:paraId="183E44C5" w14:textId="77777777" w:rsidR="00941BB3" w:rsidRDefault="0094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F6307" w14:textId="77777777" w:rsidR="001423C2" w:rsidRDefault="001423C2" w:rsidP="00137F01">
      <w:r>
        <w:separator/>
      </w:r>
    </w:p>
  </w:footnote>
  <w:footnote w:type="continuationSeparator" w:id="0">
    <w:p w14:paraId="0A002DE6" w14:textId="77777777" w:rsidR="001423C2" w:rsidRDefault="001423C2" w:rsidP="00137F01">
      <w:r>
        <w:continuationSeparator/>
      </w:r>
    </w:p>
  </w:footnote>
  <w:footnote w:type="continuationNotice" w:id="1">
    <w:p w14:paraId="0D057504" w14:textId="77777777" w:rsidR="001423C2" w:rsidRDefault="00142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4D089" w14:textId="298E2645" w:rsidR="00941BB3" w:rsidRPr="00137F01" w:rsidRDefault="00340749">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4-06-04T00:00:00Z">
          <w:dateFormat w:val="dd.MM.yyyy"/>
          <w:lid w:val="lv-LV"/>
          <w:storeMappedDataAs w:val="dateTime"/>
          <w:calendar w:val="gregorian"/>
        </w:date>
      </w:sdtPr>
      <w:sdtContent>
        <w:r w:rsidR="00941BB3">
          <w:rPr>
            <w:rFonts w:cs="Times New Roman"/>
            <w:i/>
            <w:szCs w:val="24"/>
          </w:rPr>
          <w:t>04.06.2024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15463603">
    <w:abstractNumId w:val="5"/>
  </w:num>
  <w:num w:numId="2" w16cid:durableId="231356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7648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1296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132241">
    <w:abstractNumId w:val="9"/>
  </w:num>
  <w:num w:numId="6" w16cid:durableId="1438597007">
    <w:abstractNumId w:val="1"/>
  </w:num>
  <w:num w:numId="7" w16cid:durableId="1041613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2925338">
    <w:abstractNumId w:val="4"/>
  </w:num>
  <w:num w:numId="9" w16cid:durableId="1523201113">
    <w:abstractNumId w:val="6"/>
  </w:num>
  <w:num w:numId="10" w16cid:durableId="1378159493">
    <w:abstractNumId w:val="0"/>
  </w:num>
  <w:num w:numId="11" w16cid:durableId="2060738101">
    <w:abstractNumId w:val="3"/>
  </w:num>
  <w:num w:numId="12" w16cid:durableId="1777021998">
    <w:abstractNumId w:val="10"/>
  </w:num>
  <w:num w:numId="13" w16cid:durableId="1892032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54D9"/>
    <w:rsid w:val="000060E9"/>
    <w:rsid w:val="00010AAB"/>
    <w:rsid w:val="00012102"/>
    <w:rsid w:val="000123EF"/>
    <w:rsid w:val="00021445"/>
    <w:rsid w:val="00041E01"/>
    <w:rsid w:val="00053463"/>
    <w:rsid w:val="0007193A"/>
    <w:rsid w:val="00077832"/>
    <w:rsid w:val="000A73D5"/>
    <w:rsid w:val="000F4345"/>
    <w:rsid w:val="00104260"/>
    <w:rsid w:val="001123D3"/>
    <w:rsid w:val="00112517"/>
    <w:rsid w:val="001234CA"/>
    <w:rsid w:val="00137C5D"/>
    <w:rsid w:val="00137F01"/>
    <w:rsid w:val="001423C2"/>
    <w:rsid w:val="00167BFC"/>
    <w:rsid w:val="001C4220"/>
    <w:rsid w:val="001D35CF"/>
    <w:rsid w:val="001D678C"/>
    <w:rsid w:val="001E7A2C"/>
    <w:rsid w:val="001F766A"/>
    <w:rsid w:val="002170B2"/>
    <w:rsid w:val="00226CCF"/>
    <w:rsid w:val="00227AC7"/>
    <w:rsid w:val="00232DF8"/>
    <w:rsid w:val="002358CA"/>
    <w:rsid w:val="00255F9C"/>
    <w:rsid w:val="00257728"/>
    <w:rsid w:val="00263E8F"/>
    <w:rsid w:val="00270D6E"/>
    <w:rsid w:val="00272C30"/>
    <w:rsid w:val="002910FB"/>
    <w:rsid w:val="00292229"/>
    <w:rsid w:val="0029327F"/>
    <w:rsid w:val="002A021A"/>
    <w:rsid w:val="002C0BD4"/>
    <w:rsid w:val="002C6626"/>
    <w:rsid w:val="002D3856"/>
    <w:rsid w:val="002E5E1D"/>
    <w:rsid w:val="002F2C4B"/>
    <w:rsid w:val="002F55CD"/>
    <w:rsid w:val="00302156"/>
    <w:rsid w:val="00340749"/>
    <w:rsid w:val="00341C1E"/>
    <w:rsid w:val="0034296D"/>
    <w:rsid w:val="0034392D"/>
    <w:rsid w:val="00343C4C"/>
    <w:rsid w:val="00353A4B"/>
    <w:rsid w:val="00361661"/>
    <w:rsid w:val="00365056"/>
    <w:rsid w:val="003946AA"/>
    <w:rsid w:val="003B2349"/>
    <w:rsid w:val="003B2E46"/>
    <w:rsid w:val="003B46A7"/>
    <w:rsid w:val="003B6621"/>
    <w:rsid w:val="003B7861"/>
    <w:rsid w:val="003C52F1"/>
    <w:rsid w:val="003C68AF"/>
    <w:rsid w:val="003F16D6"/>
    <w:rsid w:val="0042158C"/>
    <w:rsid w:val="004233FC"/>
    <w:rsid w:val="00424F8B"/>
    <w:rsid w:val="00436E83"/>
    <w:rsid w:val="00461358"/>
    <w:rsid w:val="00470CD6"/>
    <w:rsid w:val="004772B2"/>
    <w:rsid w:val="00481CB7"/>
    <w:rsid w:val="004A232A"/>
    <w:rsid w:val="004D30D6"/>
    <w:rsid w:val="004F4DA6"/>
    <w:rsid w:val="00504D56"/>
    <w:rsid w:val="00510407"/>
    <w:rsid w:val="005154B1"/>
    <w:rsid w:val="00521311"/>
    <w:rsid w:val="00522C4D"/>
    <w:rsid w:val="005247CE"/>
    <w:rsid w:val="00542CB2"/>
    <w:rsid w:val="0055147A"/>
    <w:rsid w:val="00552922"/>
    <w:rsid w:val="005966BD"/>
    <w:rsid w:val="005B0362"/>
    <w:rsid w:val="005F2D54"/>
    <w:rsid w:val="006003FF"/>
    <w:rsid w:val="006504BF"/>
    <w:rsid w:val="006670D5"/>
    <w:rsid w:val="0069025B"/>
    <w:rsid w:val="006969F9"/>
    <w:rsid w:val="006A7750"/>
    <w:rsid w:val="006B0644"/>
    <w:rsid w:val="006C3F2D"/>
    <w:rsid w:val="006D0A16"/>
    <w:rsid w:val="006F0516"/>
    <w:rsid w:val="006F167E"/>
    <w:rsid w:val="00702B98"/>
    <w:rsid w:val="007532AF"/>
    <w:rsid w:val="0075482C"/>
    <w:rsid w:val="00763FC1"/>
    <w:rsid w:val="007A4A68"/>
    <w:rsid w:val="007B0105"/>
    <w:rsid w:val="007C7A34"/>
    <w:rsid w:val="007E4BE6"/>
    <w:rsid w:val="008037CB"/>
    <w:rsid w:val="00817FF1"/>
    <w:rsid w:val="008370B6"/>
    <w:rsid w:val="00857CCE"/>
    <w:rsid w:val="00857F1F"/>
    <w:rsid w:val="00860F8C"/>
    <w:rsid w:val="00871399"/>
    <w:rsid w:val="00893814"/>
    <w:rsid w:val="008944B4"/>
    <w:rsid w:val="008B4943"/>
    <w:rsid w:val="008C382C"/>
    <w:rsid w:val="008E6810"/>
    <w:rsid w:val="008F22B8"/>
    <w:rsid w:val="00901199"/>
    <w:rsid w:val="00907902"/>
    <w:rsid w:val="00941BB3"/>
    <w:rsid w:val="0095483D"/>
    <w:rsid w:val="00954DE2"/>
    <w:rsid w:val="00960BC6"/>
    <w:rsid w:val="00962037"/>
    <w:rsid w:val="00967999"/>
    <w:rsid w:val="009A1A98"/>
    <w:rsid w:val="009E6019"/>
    <w:rsid w:val="00A01062"/>
    <w:rsid w:val="00A06E2A"/>
    <w:rsid w:val="00A17C17"/>
    <w:rsid w:val="00A223C9"/>
    <w:rsid w:val="00A42706"/>
    <w:rsid w:val="00A50233"/>
    <w:rsid w:val="00A55919"/>
    <w:rsid w:val="00A57181"/>
    <w:rsid w:val="00A72C39"/>
    <w:rsid w:val="00A74DFF"/>
    <w:rsid w:val="00A97620"/>
    <w:rsid w:val="00AB1493"/>
    <w:rsid w:val="00AC0920"/>
    <w:rsid w:val="00AC7AEF"/>
    <w:rsid w:val="00AD33BB"/>
    <w:rsid w:val="00AD7DF2"/>
    <w:rsid w:val="00AE5C15"/>
    <w:rsid w:val="00AE5F9C"/>
    <w:rsid w:val="00AF314F"/>
    <w:rsid w:val="00B24F5A"/>
    <w:rsid w:val="00B343B4"/>
    <w:rsid w:val="00B371AE"/>
    <w:rsid w:val="00B51A9D"/>
    <w:rsid w:val="00B51DAF"/>
    <w:rsid w:val="00BA13CE"/>
    <w:rsid w:val="00BA461D"/>
    <w:rsid w:val="00BF42C0"/>
    <w:rsid w:val="00C06AC6"/>
    <w:rsid w:val="00C07276"/>
    <w:rsid w:val="00C11922"/>
    <w:rsid w:val="00C477A2"/>
    <w:rsid w:val="00C51D33"/>
    <w:rsid w:val="00C70413"/>
    <w:rsid w:val="00CA4183"/>
    <w:rsid w:val="00CC7DCB"/>
    <w:rsid w:val="00D02B35"/>
    <w:rsid w:val="00D067FA"/>
    <w:rsid w:val="00D101D0"/>
    <w:rsid w:val="00D106AA"/>
    <w:rsid w:val="00D12AB0"/>
    <w:rsid w:val="00D12BF1"/>
    <w:rsid w:val="00D16609"/>
    <w:rsid w:val="00D20133"/>
    <w:rsid w:val="00D50611"/>
    <w:rsid w:val="00D82DA5"/>
    <w:rsid w:val="00D94AE2"/>
    <w:rsid w:val="00DA675F"/>
    <w:rsid w:val="00DB1269"/>
    <w:rsid w:val="00DB5CC9"/>
    <w:rsid w:val="00DC4799"/>
    <w:rsid w:val="00DE5E88"/>
    <w:rsid w:val="00DE6F13"/>
    <w:rsid w:val="00DF6B88"/>
    <w:rsid w:val="00E2725B"/>
    <w:rsid w:val="00E35E61"/>
    <w:rsid w:val="00E61711"/>
    <w:rsid w:val="00E801C3"/>
    <w:rsid w:val="00ED03C6"/>
    <w:rsid w:val="00ED7A83"/>
    <w:rsid w:val="00EE259A"/>
    <w:rsid w:val="00EF2D6C"/>
    <w:rsid w:val="00F13729"/>
    <w:rsid w:val="00F21FF5"/>
    <w:rsid w:val="00F560F6"/>
    <w:rsid w:val="00F620AD"/>
    <w:rsid w:val="00F80E37"/>
    <w:rsid w:val="00F82F53"/>
    <w:rsid w:val="00F84D07"/>
    <w:rsid w:val="00F851C9"/>
    <w:rsid w:val="00F94E7D"/>
    <w:rsid w:val="00FA5909"/>
    <w:rsid w:val="00FC4B75"/>
    <w:rsid w:val="00FC506B"/>
    <w:rsid w:val="00FC74EA"/>
    <w:rsid w:val="00FE0FC7"/>
    <w:rsid w:val="00FE10A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7B07B735-9867-4C99-AD7C-5811A620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character" w:styleId="UnresolvedMention">
    <w:name w:val="Unresolved Mention"/>
    <w:basedOn w:val="DefaultParagraphFont"/>
    <w:uiPriority w:val="99"/>
    <w:semiHidden/>
    <w:unhideWhenUsed/>
    <w:rsid w:val="00F851C9"/>
    <w:rPr>
      <w:color w:val="605E5C"/>
      <w:shd w:val="clear" w:color="auto" w:fill="E1DFDD"/>
    </w:rPr>
  </w:style>
  <w:style w:type="character" w:styleId="FollowedHyperlink">
    <w:name w:val="FollowedHyperlink"/>
    <w:basedOn w:val="DefaultParagraphFont"/>
    <w:uiPriority w:val="99"/>
    <w:semiHidden/>
    <w:unhideWhenUsed/>
    <w:rsid w:val="00F851C9"/>
    <w:rPr>
      <w:color w:val="954F72" w:themeColor="followedHyperlink"/>
      <w:u w:val="single"/>
    </w:rPr>
  </w:style>
  <w:style w:type="character" w:styleId="Mention">
    <w:name w:val="Mention"/>
    <w:basedOn w:val="DefaultParagraphFont"/>
    <w:uiPriority w:val="99"/>
    <w:unhideWhenUsed/>
    <w:rsid w:val="00353A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sfondi.lv/normativie-akti-un-dokumenti/2021-2027-planosanas-periods/eiropas-regionalas-attistibas-fonda-eiropas-sociala-fonda-plus-kohezijas-fonda-un-taisnigas-parkartosanas-fonda-projektu-iesniegumu-atlases-metodika-2021-2027-gadam" TargetMode="External"/><Relationship Id="rId4" Type="http://schemas.openxmlformats.org/officeDocument/2006/relationships/styles" Target="styles.xml"/><Relationship Id="rId9" Type="http://schemas.openxmlformats.org/officeDocument/2006/relationships/hyperlink" Target="https://tapportals.mk.gov.lv/legal_acts/75632897-68a6-48fb-912e-e2eb11b7345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1C4220"/>
    <w:rsid w:val="00227AC7"/>
    <w:rsid w:val="00361661"/>
    <w:rsid w:val="00461358"/>
    <w:rsid w:val="004B3F7B"/>
    <w:rsid w:val="00510407"/>
    <w:rsid w:val="00994E0D"/>
    <w:rsid w:val="009B5B5B"/>
    <w:rsid w:val="00D02B35"/>
    <w:rsid w:val="00DD6774"/>
    <w:rsid w:val="00F149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1D249-0ADC-45B2-BF00-122EF85CC09D}">
  <ds:schemaRefs>
    <ds:schemaRef ds:uri="http://schemas.microsoft.com/sharepoint/v3/contenttype/forms"/>
  </ds:schemaRefs>
</ds:datastoreItem>
</file>

<file path=customXml/itemProps2.xml><?xml version="1.0" encoding="utf-8"?>
<ds:datastoreItem xmlns:ds="http://schemas.openxmlformats.org/officeDocument/2006/customXml" ds:itemID="{32CB1999-8E5B-4C16-A72C-6AF2D637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172</TotalTime>
  <Pages>8</Pages>
  <Words>9949</Words>
  <Characters>5671</Characters>
  <Application>Microsoft Office Word</Application>
  <DocSecurity>0</DocSecurity>
  <Lines>47</Lines>
  <Paragraphs>31</Paragraphs>
  <ScaleCrop>false</ScaleCrop>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Gratkovska</cp:lastModifiedBy>
  <cp:revision>96</cp:revision>
  <dcterms:created xsi:type="dcterms:W3CDTF">2023-03-10T07:33:00Z</dcterms:created>
  <dcterms:modified xsi:type="dcterms:W3CDTF">2024-06-12T05:52:00Z</dcterms:modified>
</cp:coreProperties>
</file>